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2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ind/>
        <w:jc w:val="right"/>
        <w:rPr>
          <w:b w:val="1"/>
          <w:i w:val="1"/>
        </w:rPr>
      </w:pPr>
      <w:r>
        <w:rPr>
          <w:i w:val="1"/>
        </w:rPr>
        <w:t>№02-03/25</w:t>
      </w:r>
      <w:r>
        <w:rPr>
          <w:i w:val="1"/>
        </w:rPr>
        <w:t xml:space="preserve"> от</w:t>
      </w:r>
      <w:r>
        <w:rPr>
          <w:i w:val="1"/>
        </w:rPr>
        <w:t xml:space="preserve"> «08» декабря 2022 г.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6000000">
      <w:pPr>
        <w:pStyle w:val="Style_3"/>
        <w:spacing w:after="120" w:before="12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 и плановый период 2024 и 2025 годов.</w:t>
      </w:r>
    </w:p>
    <w:p w14:paraId="07000000">
      <w:pPr>
        <w:pStyle w:val="Style_3"/>
        <w:spacing w:after="120" w:before="12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</w:t>
      </w:r>
      <w:r>
        <w:rPr>
          <w:rFonts w:ascii="Times New Roman" w:hAnsi="Times New Roman"/>
          <w:b w:val="1"/>
        </w:rPr>
        <w:tab/>
      </w:r>
      <w:r>
        <w:t>ПАСПОРТ</w:t>
      </w:r>
    </w:p>
    <w:tbl>
      <w:tblPr>
        <w:tblStyle w:val="Style_4"/>
        <w:tblInd w:type="dxa" w:w="-5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7"/>
        <w:gridCol w:w="2669"/>
        <w:gridCol w:w="11524"/>
      </w:tblGrid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8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 и плановый период 2024 и 2025 годов (далее – Программа)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ind w:firstLine="170" w:left="0"/>
              <w:jc w:val="both"/>
            </w:pPr>
            <w:r>
              <w:t>Местная администрация Муниципального образования муниципальный округ Семеновский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неработающего населения способам защиты и действиям при возникновении чрезвычайных ситуаций посредством проведения бесед, лекций, тренировок и учений, просмотров учебных фильмов, прослушивания радиопередач, а также самостоятельное изучение пособий, памяток, листовок и буклетов.</w:t>
            </w:r>
          </w:p>
          <w:p w14:paraId="11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учебно-материальной базы учебно-консультационного пункта по гражданской обороне и чрезвычайным ситуациям Муниципального образования.</w:t>
            </w:r>
          </w:p>
          <w:p w14:paraId="1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 xml:space="preserve">Подготовка и обучение неработающего населения в области безопасности жизнедеятельности  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3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4000000">
            <w:r>
              <w:rPr>
                <w:b w:val="1"/>
              </w:rPr>
              <w:t>Срок реализации Программы</w:t>
            </w:r>
          </w:p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5000000">
            <w:pPr>
              <w:ind w:firstLine="170" w:left="0"/>
              <w:jc w:val="both"/>
            </w:pPr>
            <w:r>
              <w:t>2023 год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9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1A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1B000000">
            <w:pPr>
              <w:pStyle w:val="Style_3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защищенности жителей муниципального образования от чрезвычайных ситуаций природного и техногенного характера;</w:t>
            </w:r>
          </w:p>
          <w:p w14:paraId="1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Сохранение жизни и здоровья жителей Муниципального образования при возникновении чрезвычайных ситуаций.</w:t>
            </w:r>
          </w:p>
        </w:tc>
      </w:tr>
      <w:tr>
        <w:trPr>
          <w:trHeight w:hRule="atLeast" w:val="57"/>
        </w:trPr>
        <w:tc>
          <w:tcPr>
            <w:tcW w:type="dxa" w:w="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2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23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24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25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26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27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  <w:p w14:paraId="28000000">
            <w:pPr>
              <w:rPr>
                <w:b w:val="1"/>
              </w:rPr>
            </w:pPr>
          </w:p>
          <w:p w14:paraId="29000000"/>
        </w:tc>
        <w:tc>
          <w:tcPr>
            <w:tcW w:type="dxa" w:w="1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00000"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программы осуществляется за счет средств местного бюджета МО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 xml:space="preserve"> Семеновский</w:t>
            </w:r>
          </w:p>
          <w:p w14:paraId="2B000000">
            <w:pPr>
              <w:rPr>
                <w:sz w:val="24"/>
              </w:rPr>
            </w:pPr>
            <w:r>
              <w:t xml:space="preserve">2190000090 «Проведение подготовки и обучения неработающего населения способам защиты и действий в чрезвычайных ситуациях, а также способам защиты от опасностей, возникающих при ведении военных действий или </w:t>
            </w:r>
            <w:r>
              <w:rPr>
                <w:sz w:val="24"/>
              </w:rPr>
              <w:t>вследствие</w:t>
            </w:r>
            <w:r>
              <w:t xml:space="preserve"> этих действий»</w:t>
            </w:r>
          </w:p>
          <w:p w14:paraId="2C000000">
            <w:r>
              <w:t xml:space="preserve">Всего по программе – 290,00 тыс. </w:t>
            </w:r>
            <w:r>
              <w:t>руб</w:t>
            </w:r>
            <w:r>
              <w:t>, в том числе по годам:</w:t>
            </w:r>
          </w:p>
          <w:p w14:paraId="2D000000">
            <w:r>
              <w:t>✓ 2023</w:t>
            </w:r>
            <w:r>
              <w:t xml:space="preserve"> </w:t>
            </w:r>
            <w:r>
              <w:t>г. – 100,00;</w:t>
            </w:r>
          </w:p>
          <w:p w14:paraId="2E000000">
            <w:r>
              <w:t>✓ 2024</w:t>
            </w:r>
            <w:r>
              <w:t xml:space="preserve"> </w:t>
            </w:r>
            <w:r>
              <w:t>г. – 100,00;</w:t>
            </w:r>
          </w:p>
          <w:p w14:paraId="2F000000">
            <w:pPr>
              <w:rPr>
                <w:sz w:val="24"/>
              </w:rPr>
            </w:pPr>
            <w:r>
              <w:t>✓ 2025</w:t>
            </w:r>
            <w:r>
              <w:t xml:space="preserve"> </w:t>
            </w:r>
            <w:r>
              <w:t>г. – 90,00.</w:t>
            </w:r>
          </w:p>
        </w:tc>
      </w:tr>
    </w:tbl>
    <w:p w14:paraId="30000000">
      <w:pPr>
        <w:pStyle w:val="Style_3"/>
        <w:pageBreakBefore w:val="1"/>
        <w:spacing w:after="120" w:before="120" w:line="240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II.</w:t>
      </w:r>
      <w:r>
        <w:rPr>
          <w:rFonts w:ascii="Times New Roman" w:hAnsi="Times New Roman"/>
          <w:b w:val="1"/>
        </w:rPr>
        <w:tab/>
      </w:r>
      <w:r>
        <w:t>ПЕРЕЧЕНЬ ОСНОВНЫХ МЕРОПРИЯТИЙ</w:t>
      </w:r>
    </w:p>
    <w:tbl>
      <w:tblPr>
        <w:tblStyle w:val="Style_4"/>
        <w:tblInd w:type="dxa" w:w="-5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27"/>
        <w:gridCol w:w="5754"/>
        <w:gridCol w:w="1323"/>
        <w:gridCol w:w="975"/>
        <w:gridCol w:w="1393"/>
        <w:gridCol w:w="1546"/>
        <w:gridCol w:w="1560"/>
        <w:gridCol w:w="1417"/>
      </w:tblGrid>
      <w:tr>
        <w:trPr>
          <w:trHeight w:hRule="atLeast" w:val="57"/>
        </w:trPr>
        <w:tc>
          <w:tcPr>
            <w:tcW w:type="dxa" w:w="4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2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75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3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29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3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4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Необходимый объем финансирования </w:t>
            </w:r>
          </w:p>
          <w:p w14:paraId="37000000">
            <w:pPr>
              <w:ind/>
              <w:jc w:val="center"/>
            </w:pPr>
            <w:r>
              <w:rPr>
                <w:b w:val="1"/>
              </w:rPr>
              <w:t>(тыс. руб.)</w:t>
            </w:r>
          </w:p>
        </w:tc>
      </w:tr>
      <w:tr>
        <w:trPr>
          <w:trHeight w:hRule="atLeast" w:val="57"/>
        </w:trPr>
        <w:tc>
          <w:tcPr>
            <w:tcW w:type="dxa" w:w="4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7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229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3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4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7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229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3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4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center"/>
            </w:pPr>
            <w:r>
              <w:t xml:space="preserve"> 1.</w:t>
            </w:r>
          </w:p>
        </w:tc>
        <w:tc>
          <w:tcPr>
            <w:tcW w:type="dxa" w:w="5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r>
              <w:t>Пропаганда знаний в области способов защиты от опасностей, возникающих при ведении военных действий или вследствие этих действий посредством публикаций, размещения информационных материалов в муниципальной газете «Семеновское Время» и (или) на официальном сайте МО Семеновский в информационно-телекоммуникационной сети «Интернет»</w:t>
            </w:r>
          </w:p>
        </w:tc>
        <w:tc>
          <w:tcPr>
            <w:tcW w:type="dxa" w:w="1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ind/>
              <w:jc w:val="center"/>
            </w:pPr>
            <w:r>
              <w:t xml:space="preserve">шт. </w:t>
            </w:r>
            <w:r>
              <w:t>публ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ind/>
              <w:jc w:val="center"/>
            </w:pPr>
            <w:r>
              <w:t>5</w:t>
            </w:r>
          </w:p>
        </w:tc>
        <w:tc>
          <w:tcPr>
            <w:tcW w:type="dxa" w:w="1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4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r>
              <w:t>Проведение обучающих лекций по вопросам гражданской обороны, защиты населения от чрезвычайных ситуаций и пожарной безопасности</w:t>
            </w:r>
          </w:p>
        </w:tc>
        <w:tc>
          <w:tcPr>
            <w:tcW w:type="dxa" w:w="1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ind/>
              <w:jc w:val="center"/>
            </w:pPr>
            <w:r>
              <w:t>лекций/</w:t>
            </w:r>
          </w:p>
          <w:p w14:paraId="49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t>4/50</w:t>
            </w:r>
          </w:p>
        </w:tc>
        <w:tc>
          <w:tcPr>
            <w:tcW w:type="dxa" w:w="1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4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r>
              <w:t>Подготовка, издание и распространение на территории округа методического материала способам защиты и действиям в чрезвычайных ситуациях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  <w:rPr>
                <w:highlight w:val="yellow"/>
              </w:rPr>
            </w:pPr>
            <w:r>
              <w:t>1-4 квартал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  <w:rPr>
                <w:highlight w:val="yellow"/>
              </w:rPr>
            </w:pPr>
            <w:r>
              <w:t>10,0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  <w:rPr>
                <w:highlight w:val="yellow"/>
              </w:rPr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  <w:rPr>
                <w:highlight w:val="yellow"/>
              </w:rPr>
            </w:pPr>
            <w:r>
              <w:t>10,0</w:t>
            </w:r>
          </w:p>
        </w:tc>
      </w:tr>
      <w:tr>
        <w:trPr>
          <w:trHeight w:hRule="atLeast" w:val="57"/>
        </w:trPr>
        <w:tc>
          <w:tcPr>
            <w:tcW w:type="dxa" w:w="4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 xml:space="preserve">4. </w:t>
            </w:r>
          </w:p>
        </w:tc>
        <w:tc>
          <w:tcPr>
            <w:tcW w:type="dxa" w:w="5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r>
              <w:t>Организация УКП (Приобретение технических средств обучения в УКП ГО и ЧС — противогаз гражданский фильтрующий, огнетушитель порошковый ОП-8(3)</w:t>
            </w:r>
          </w:p>
          <w:p w14:paraId="59000000">
            <w:r>
              <w:t>аптечка первой медицинской помощи)</w:t>
            </w:r>
          </w:p>
        </w:tc>
        <w:tc>
          <w:tcPr>
            <w:tcW w:type="dxa" w:w="1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center"/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</w:pPr>
            <w:r>
              <w:t>90,0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</w:pPr>
            <w:r>
              <w:t>90,0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t>8</w:t>
            </w:r>
            <w:r>
              <w:t>0,0</w:t>
            </w:r>
          </w:p>
        </w:tc>
      </w:tr>
      <w:tr>
        <w:trPr>
          <w:trHeight w:hRule="atLeast" w:val="200"/>
        </w:trPr>
        <w:tc>
          <w:tcPr>
            <w:tcW w:type="dxa" w:w="61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ind/>
              <w:jc w:val="both"/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center"/>
            </w:pPr>
            <w:r>
              <w:t>шт/</w:t>
            </w:r>
            <w:r>
              <w:t>лекций/</w:t>
            </w:r>
            <w:r>
              <w:t xml:space="preserve"> чел.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r>
              <w:t>105/4/50</w:t>
            </w:r>
          </w:p>
        </w:tc>
        <w:tc>
          <w:tcPr>
            <w:tcW w:type="dxa" w:w="1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</w:pP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100,0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90,0</w:t>
            </w:r>
          </w:p>
        </w:tc>
      </w:tr>
    </w:tbl>
    <w:p w14:paraId="67000000"/>
    <w:p w14:paraId="68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69000000">
      <w:bookmarkStart w:id="1" w:name="_GoBack"/>
      <w:bookmarkEnd w:id="1"/>
    </w:p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6_ch" w:type="character">
    <w:name w:val="heading 1"/>
    <w:basedOn w:val="Style_5_ch"/>
    <w:link w:val="Style_16"/>
    <w:rPr>
      <w:rFonts w:ascii="Calibri Light" w:hAnsi="Calibri Light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5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5_ch"/>
    <w:link w:val="Style_1"/>
    <w:rPr>
      <w:rFonts w:ascii="Calibri" w:hAnsi="Calibri"/>
    </w:rPr>
  </w:style>
  <w:style w:styleId="Style_2" w:type="paragraph">
    <w:name w:val="Стиль Заголовок 1 + 14 пт"/>
    <w:basedOn w:val="Style_16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6_ch"/>
    <w:link w:val="Style_2"/>
    <w:rPr>
      <w:rFonts w:ascii="Times New Roman" w:hAnsi="Times New Roman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head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spacing w:after="200" w:line="276" w:lineRule="auto"/>
      <w:ind w:firstLine="0" w:left="720"/>
    </w:pPr>
    <w:rPr>
      <w:rFonts w:ascii="Calibri" w:hAnsi="Calibri"/>
    </w:rPr>
  </w:style>
  <w:style w:styleId="Style_3_ch" w:type="character">
    <w:name w:val="List Paragraph"/>
    <w:basedOn w:val="Style_5_ch"/>
    <w:link w:val="Style_3"/>
    <w:rPr>
      <w:rFonts w:ascii="Calibri" w:hAnsi="Calibri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Balloon Text"/>
    <w:basedOn w:val="Style_5"/>
    <w:link w:val="Style_27_ch"/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2022-12-08T13:20:51Z</dcterms:modified>
</cp:coreProperties>
</file>