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pStyle w:val="Style_2"/>
        <w:spacing w:before="0"/>
        <w:ind w:firstLine="0" w:left="0"/>
        <w:jc w:val="right"/>
        <w:rPr>
          <w:i w:val="1"/>
        </w:rPr>
      </w:pPr>
      <w:r>
        <w:rPr>
          <w:i w:val="1"/>
          <w:sz w:val="22"/>
        </w:rPr>
        <w:t>Приложение № 5</w:t>
      </w:r>
    </w:p>
    <w:p w14:paraId="03000000">
      <w:pPr>
        <w:ind/>
        <w:jc w:val="right"/>
        <w:rPr>
          <w:i w:val="1"/>
        </w:rPr>
      </w:pPr>
      <w:r>
        <w:rPr>
          <w:i w:val="1"/>
        </w:rPr>
        <w:t xml:space="preserve">к Постановлению МА МО </w:t>
      </w:r>
      <w:r>
        <w:rPr>
          <w:i w:val="1"/>
        </w:rPr>
        <w:t>МО</w:t>
      </w:r>
      <w:r>
        <w:rPr>
          <w:i w:val="1"/>
        </w:rPr>
        <w:t xml:space="preserve"> Семеновский</w:t>
      </w:r>
    </w:p>
    <w:p w14:paraId="04000000">
      <w:pPr>
        <w:ind/>
        <w:jc w:val="right"/>
        <w:rPr>
          <w:b w:val="1"/>
        </w:rPr>
      </w:pPr>
      <w:r>
        <w:rPr>
          <w:i w:val="1"/>
        </w:rPr>
        <w:t>№ 02-03/25</w:t>
      </w:r>
      <w:r>
        <w:rPr>
          <w:i w:val="1"/>
        </w:rPr>
        <w:t xml:space="preserve"> от «08» декабря 2022 г.</w:t>
      </w:r>
    </w:p>
    <w:p w14:paraId="05000000">
      <w:pPr>
        <w:ind/>
        <w:jc w:val="right"/>
        <w:rPr>
          <w:b w:val="1"/>
        </w:rPr>
      </w:pPr>
    </w:p>
    <w:p w14:paraId="06000000">
      <w:pPr>
        <w:ind/>
        <w:jc w:val="center"/>
        <w:rPr>
          <w:b w:val="1"/>
        </w:rPr>
      </w:pPr>
      <w:r>
        <w:rPr>
          <w:b w:val="1"/>
        </w:rPr>
        <w:t>МУНИЦИПАЛЬНАЯ ПРОГРАММА</w:t>
      </w:r>
    </w:p>
    <w:p w14:paraId="07000000">
      <w:pPr>
        <w:spacing w:after="120" w:before="120"/>
        <w:ind/>
        <w:jc w:val="center"/>
        <w:rPr>
          <w:b w:val="1"/>
        </w:rPr>
      </w:pPr>
      <w:r>
        <w:rPr>
          <w:b w:val="1"/>
        </w:rPr>
        <w:t>мероприятий, направленных на решение вопроса местного значения по участию в установленном порядке в мероприятиях</w:t>
      </w:r>
      <w:r>
        <w:rPr>
          <w:b w:val="1"/>
        </w:rPr>
        <w:br/>
      </w:r>
      <w:r>
        <w:rPr>
          <w:b w:val="1"/>
        </w:rPr>
        <w:t>по профилактике незаконного потребления наркотических средств и психотропных веществ, наркомании в Санкт-Петербурге, на 2023 и плановый период 2024 и 2025 годов</w:t>
      </w:r>
    </w:p>
    <w:p w14:paraId="08000000">
      <w:pPr>
        <w:spacing w:after="120" w:before="120"/>
        <w:ind/>
        <w:jc w:val="center"/>
        <w:rPr>
          <w:b w:val="1"/>
        </w:rPr>
      </w:pPr>
      <w:r>
        <w:rPr>
          <w:b w:val="1"/>
        </w:rPr>
        <w:t>I.</w:t>
      </w:r>
      <w:r>
        <w:rPr>
          <w:b w:val="1"/>
        </w:rPr>
        <w:tab/>
      </w:r>
      <w:r>
        <w:rPr>
          <w:b w:val="1"/>
        </w:rPr>
        <w:t>ПАСПОРТ</w:t>
      </w:r>
    </w:p>
    <w:tbl>
      <w:tblPr>
        <w:tblStyle w:val="Style_3"/>
        <w:tblInd w:type="dxa" w:w="-208"/>
        <w:tblLayout w:type="fixed"/>
        <w:tblCellMar>
          <w:left w:type="dxa" w:w="0"/>
          <w:right w:type="dxa" w:w="0"/>
        </w:tblCellMar>
      </w:tblPr>
      <w:tblGrid>
        <w:gridCol w:w="383"/>
        <w:gridCol w:w="2569"/>
        <w:gridCol w:w="11749"/>
        <w:gridCol w:w="48"/>
        <w:gridCol w:w="29"/>
      </w:tblGrid>
      <w:tr>
        <w:trPr>
          <w:trHeight w:hRule="atLeast" w:val="57"/>
        </w:trPr>
        <w:tc>
          <w:tcPr>
            <w:tcW w:type="dxa" w:w="383"/>
            <w:tcBorders>
              <w:top w:color="000000" w:sz="8" w:val="single"/>
              <w:left w:color="000000" w:sz="8" w:val="single"/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</w:tcPr>
          <w:p w14:paraId="09000000">
            <w:pPr>
              <w:ind/>
              <w:jc w:val="center"/>
            </w:pPr>
            <w:r>
              <w:rPr>
                <w:b w:val="1"/>
              </w:rPr>
              <w:t>1.</w:t>
            </w:r>
          </w:p>
        </w:tc>
        <w:tc>
          <w:tcPr>
            <w:tcW w:type="dxa" w:w="2569"/>
            <w:tcBorders>
              <w:top w:color="000000" w:sz="8" w:val="single"/>
              <w:left w:color="000000" w:sz="8" w:val="single"/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</w:tcPr>
          <w:p w14:paraId="0A000000">
            <w:r>
              <w:rPr>
                <w:b w:val="1"/>
              </w:rPr>
              <w:t>Наименование Программы</w:t>
            </w:r>
          </w:p>
        </w:tc>
        <w:tc>
          <w:tcPr>
            <w:tcW w:type="dxa" w:w="1174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0B000000">
            <w:pPr>
              <w:ind/>
              <w:jc w:val="both"/>
            </w:pPr>
            <w:r>
              <w:t>Муниципальная программа мероприятий, направленных на решение вопроса местного значения по участию в установленном порядке в мероприятиях по профилактике незаконного потребления наркотических средств и психотропных веществ, наркомании в Санкт-Петербурге, на 2023 и плановый период 2024 и 2025 годов (далее – Программа)</w:t>
            </w:r>
          </w:p>
        </w:tc>
        <w:tc>
          <w:tcPr>
            <w:tcW w:type="dxa" w:w="48"/>
            <w:tcBorders>
              <w:lef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0C000000">
            <w:pPr>
              <w:rPr>
                <w:b w:val="1"/>
              </w:rPr>
            </w:pPr>
          </w:p>
        </w:tc>
        <w:tc>
          <w:tcPr>
            <w:tcW w:type="dxa" w:w="29"/>
            <w:shd w:fill="auto" w:val="clear"/>
            <w:tcMar>
              <w:left w:type="dxa" w:w="0"/>
              <w:right w:type="dxa" w:w="0"/>
            </w:tcMar>
          </w:tcPr>
          <w:p w14:paraId="0D000000">
            <w:pPr>
              <w:rPr>
                <w:b w:val="1"/>
              </w:rPr>
            </w:pPr>
          </w:p>
        </w:tc>
      </w:tr>
      <w:tr>
        <w:trPr>
          <w:trHeight w:hRule="atLeast" w:val="57"/>
        </w:trPr>
        <w:tc>
          <w:tcPr>
            <w:tcW w:type="dxa" w:w="383"/>
            <w:tcBorders>
              <w:left w:color="000000" w:sz="8" w:val="single"/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</w:tcPr>
          <w:p w14:paraId="0E000000">
            <w:pPr>
              <w:ind/>
              <w:jc w:val="center"/>
            </w:pPr>
            <w:r>
              <w:rPr>
                <w:b w:val="1"/>
              </w:rPr>
              <w:t>2.</w:t>
            </w:r>
          </w:p>
        </w:tc>
        <w:tc>
          <w:tcPr>
            <w:tcW w:type="dxa" w:w="2569"/>
            <w:tcBorders>
              <w:left w:color="000000" w:sz="8" w:val="single"/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</w:tcPr>
          <w:p w14:paraId="0F000000">
            <w:r>
              <w:rPr>
                <w:b w:val="1"/>
              </w:rPr>
              <w:t>Заказчик Программы</w:t>
            </w:r>
          </w:p>
        </w:tc>
        <w:tc>
          <w:tcPr>
            <w:tcW w:type="dxa" w:w="1174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10000000">
            <w:pPr>
              <w:ind w:firstLine="170" w:left="0"/>
              <w:jc w:val="both"/>
            </w:pPr>
            <w:r>
              <w:t>Местная администрация Муниципального образования муниципальный округ Семеновский.</w:t>
            </w:r>
          </w:p>
        </w:tc>
        <w:tc>
          <w:tcPr>
            <w:tcW w:type="dxa" w:w="48"/>
            <w:tcBorders>
              <w:lef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11000000">
            <w:pPr>
              <w:rPr>
                <w:b w:val="1"/>
              </w:rPr>
            </w:pPr>
          </w:p>
        </w:tc>
        <w:tc>
          <w:tcPr>
            <w:tcW w:type="dxa" w:w="29"/>
            <w:shd w:fill="auto" w:val="clear"/>
            <w:tcMar>
              <w:left w:type="dxa" w:w="0"/>
              <w:right w:type="dxa" w:w="0"/>
            </w:tcMar>
          </w:tcPr>
          <w:p w14:paraId="12000000">
            <w:pPr>
              <w:rPr>
                <w:b w:val="1"/>
              </w:rPr>
            </w:pPr>
          </w:p>
        </w:tc>
      </w:tr>
      <w:tr>
        <w:trPr>
          <w:trHeight w:hRule="atLeast" w:val="57"/>
        </w:trPr>
        <w:tc>
          <w:tcPr>
            <w:tcW w:type="dxa" w:w="383"/>
            <w:tcBorders>
              <w:left w:color="000000" w:sz="8" w:val="single"/>
            </w:tcBorders>
            <w:shd w:fill="auto" w:val="clear"/>
            <w:tcMar>
              <w:left w:type="dxa" w:w="0"/>
              <w:right w:type="dxa" w:w="0"/>
            </w:tcMar>
          </w:tcPr>
          <w:p w14:paraId="13000000">
            <w:pPr>
              <w:ind/>
              <w:jc w:val="center"/>
            </w:pPr>
            <w:r>
              <w:rPr>
                <w:b w:val="1"/>
              </w:rPr>
              <w:t>3.</w:t>
            </w:r>
          </w:p>
        </w:tc>
        <w:tc>
          <w:tcPr>
            <w:tcW w:type="dxa" w:w="2569"/>
            <w:tcBorders>
              <w:left w:color="000000" w:sz="8" w:val="single"/>
            </w:tcBorders>
            <w:shd w:fill="auto" w:val="clear"/>
            <w:tcMar>
              <w:left w:type="dxa" w:w="0"/>
              <w:right w:type="dxa" w:w="0"/>
            </w:tcMar>
          </w:tcPr>
          <w:p w14:paraId="14000000">
            <w:r>
              <w:rPr>
                <w:b w:val="1"/>
              </w:rPr>
              <w:t>Задачи и цели Программы</w:t>
            </w:r>
          </w:p>
        </w:tc>
        <w:tc>
          <w:tcPr>
            <w:tcW w:type="dxa" w:w="1174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15000000">
            <w:pPr>
              <w:pStyle w:val="Style_4"/>
              <w:numPr>
                <w:ilvl w:val="0"/>
                <w:numId w:val="1"/>
              </w:numPr>
              <w:ind w:firstLine="170"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Предупреждение распространения наркомании на территории Муниципального образования и связанных с ней правонарушений;</w:t>
            </w:r>
          </w:p>
          <w:p w14:paraId="16000000">
            <w:pPr>
              <w:pStyle w:val="Style_4"/>
              <w:numPr>
                <w:ilvl w:val="0"/>
                <w:numId w:val="1"/>
              </w:numPr>
              <w:ind w:firstLine="170"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в обществе через средства массовой информации негативного отношения к потреблению наркотиков, пропаганда преимущества здорового образа жизни;</w:t>
            </w:r>
          </w:p>
          <w:p w14:paraId="17000000">
            <w:pPr>
              <w:pStyle w:val="Style_4"/>
              <w:numPr>
                <w:ilvl w:val="0"/>
                <w:numId w:val="1"/>
              </w:numPr>
              <w:ind w:firstLine="170"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занятости детей и молодежи, привлечение их к активным формам досуга.</w:t>
            </w:r>
          </w:p>
          <w:p w14:paraId="18000000">
            <w:pPr>
              <w:pStyle w:val="Style_4"/>
              <w:numPr>
                <w:ilvl w:val="0"/>
                <w:numId w:val="1"/>
              </w:numPr>
              <w:ind w:firstLine="170"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Сокращение спроса на наркотические и психотропные вещества, постепенное сокращение общего количества потребителей наркотических веществ и снижение уровня заболеваемости наркоманией и токсикоманией среди жителей Муниципального образования;</w:t>
            </w:r>
          </w:p>
          <w:p w14:paraId="19000000">
            <w:pPr>
              <w:pStyle w:val="Style_4"/>
              <w:numPr>
                <w:ilvl w:val="0"/>
                <w:numId w:val="1"/>
              </w:numPr>
              <w:ind w:firstLine="170"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Повышение информированности жителей Муниципального образования по проблемам злоупотребления психотропными веществами;</w:t>
            </w:r>
          </w:p>
          <w:p w14:paraId="1A000000">
            <w:pPr>
              <w:pStyle w:val="Style_4"/>
              <w:numPr>
                <w:ilvl w:val="0"/>
                <w:numId w:val="1"/>
              </w:numPr>
              <w:ind w:firstLine="170" w:left="0"/>
              <w:jc w:val="both"/>
            </w:pPr>
            <w:r>
              <w:rPr>
                <w:rFonts w:ascii="Times New Roman" w:hAnsi="Times New Roman"/>
              </w:rPr>
              <w:t>Отвлечение от пагубных привычек и обеспечение занятости детей и молодежи, привлечение их к активным формам досуга.</w:t>
            </w:r>
          </w:p>
        </w:tc>
        <w:tc>
          <w:tcPr>
            <w:tcW w:type="dxa" w:w="48"/>
            <w:tcBorders>
              <w:lef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1B000000">
            <w:pPr>
              <w:rPr>
                <w:b w:val="1"/>
              </w:rPr>
            </w:pPr>
          </w:p>
        </w:tc>
        <w:tc>
          <w:tcPr>
            <w:tcW w:type="dxa" w:w="29"/>
            <w:shd w:fill="auto" w:val="clear"/>
            <w:tcMar>
              <w:left w:type="dxa" w:w="0"/>
              <w:right w:type="dxa" w:w="0"/>
            </w:tcMar>
          </w:tcPr>
          <w:p w14:paraId="1C000000">
            <w:pPr>
              <w:rPr>
                <w:b w:val="1"/>
              </w:rPr>
            </w:pPr>
          </w:p>
        </w:tc>
      </w:tr>
      <w:tr>
        <w:trPr>
          <w:trHeight w:hRule="atLeast" w:val="57"/>
        </w:trPr>
        <w:tc>
          <w:tcPr>
            <w:tcW w:type="dxa" w:w="383"/>
            <w:tcBorders>
              <w:top w:color="000000" w:sz="8" w:val="single"/>
              <w:left w:color="000000" w:sz="8" w:val="single"/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</w:tcPr>
          <w:p w14:paraId="1D000000">
            <w:pPr>
              <w:ind/>
              <w:jc w:val="center"/>
            </w:pPr>
            <w:r>
              <w:rPr>
                <w:b w:val="1"/>
              </w:rPr>
              <w:t>4.</w:t>
            </w:r>
          </w:p>
        </w:tc>
        <w:tc>
          <w:tcPr>
            <w:tcW w:type="dxa" w:w="2569"/>
            <w:tcBorders>
              <w:top w:color="000000" w:sz="8" w:val="single"/>
              <w:left w:color="000000" w:sz="8" w:val="single"/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</w:tcPr>
          <w:p w14:paraId="1E000000">
            <w:r>
              <w:rPr>
                <w:b w:val="1"/>
              </w:rPr>
              <w:t>Сроки реализации Программы</w:t>
            </w:r>
          </w:p>
        </w:tc>
        <w:tc>
          <w:tcPr>
            <w:tcW w:type="dxa" w:w="1174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1F000000">
            <w:pPr>
              <w:ind w:firstLine="170" w:left="0"/>
              <w:jc w:val="both"/>
            </w:pPr>
            <w:r>
              <w:t>2023</w:t>
            </w:r>
            <w:r>
              <w:t xml:space="preserve"> и плановый период 2024 и </w:t>
            </w:r>
            <w:r>
              <w:t>2025 год</w:t>
            </w:r>
            <w:r>
              <w:t>ов</w:t>
            </w:r>
          </w:p>
        </w:tc>
        <w:tc>
          <w:tcPr>
            <w:tcW w:type="dxa" w:w="48"/>
            <w:tcBorders>
              <w:lef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20000000">
            <w:pPr>
              <w:rPr>
                <w:b w:val="1"/>
              </w:rPr>
            </w:pPr>
          </w:p>
        </w:tc>
        <w:tc>
          <w:tcPr>
            <w:tcW w:type="dxa" w:w="29"/>
            <w:shd w:fill="auto" w:val="clear"/>
            <w:tcMar>
              <w:left w:type="dxa" w:w="0"/>
              <w:right w:type="dxa" w:w="0"/>
            </w:tcMar>
          </w:tcPr>
          <w:p w14:paraId="21000000">
            <w:pPr>
              <w:rPr>
                <w:b w:val="1"/>
              </w:rPr>
            </w:pPr>
          </w:p>
        </w:tc>
      </w:tr>
      <w:tr>
        <w:trPr>
          <w:trHeight w:hRule="atLeast" w:val="57"/>
        </w:trPr>
        <w:tc>
          <w:tcPr>
            <w:tcW w:type="dxa" w:w="383"/>
            <w:tcBorders>
              <w:left w:color="000000" w:sz="8" w:val="single"/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</w:tcPr>
          <w:p w14:paraId="22000000">
            <w:pPr>
              <w:ind/>
              <w:jc w:val="center"/>
            </w:pPr>
            <w:r>
              <w:rPr>
                <w:b w:val="1"/>
              </w:rPr>
              <w:t>5.</w:t>
            </w:r>
          </w:p>
        </w:tc>
        <w:tc>
          <w:tcPr>
            <w:tcW w:type="dxa" w:w="2569"/>
            <w:tcBorders>
              <w:left w:color="000000" w:sz="8" w:val="single"/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</w:tcPr>
          <w:p w14:paraId="23000000">
            <w:r>
              <w:rPr>
                <w:b w:val="1"/>
              </w:rPr>
              <w:t>Участники Программы</w:t>
            </w:r>
          </w:p>
        </w:tc>
        <w:tc>
          <w:tcPr>
            <w:tcW w:type="dxa" w:w="1174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24000000">
            <w:pPr>
              <w:pStyle w:val="Style_5"/>
              <w:numPr>
                <w:ilvl w:val="0"/>
                <w:numId w:val="2"/>
              </w:num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Местная администрация Муниципального образования муниципальный округ Семеновский;</w:t>
            </w:r>
          </w:p>
          <w:p w14:paraId="25000000">
            <w:pPr>
              <w:pStyle w:val="Style_5"/>
              <w:numPr>
                <w:ilvl w:val="0"/>
                <w:numId w:val="2"/>
              </w:num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Муниципальное казенное учреждение;</w:t>
            </w:r>
          </w:p>
          <w:p w14:paraId="26000000">
            <w:pPr>
              <w:pStyle w:val="Style_5"/>
              <w:numPr>
                <w:ilvl w:val="0"/>
                <w:numId w:val="2"/>
              </w:num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Юридические лица и индивидуальные предприниматели, с которыми по результатам проведения закупки товаров, работ, услуг на выполнение мероприятий Программы заключены муниципальные контракты (договоры) на поставку товаров, выполнение работ, оказание услуг, входящих в указанные мероприятия;</w:t>
            </w:r>
          </w:p>
          <w:p w14:paraId="27000000">
            <w:pPr>
              <w:pStyle w:val="Style_5"/>
              <w:numPr>
                <w:ilvl w:val="0"/>
                <w:numId w:val="2"/>
              </w:numPr>
              <w:spacing w:after="0" w:line="240" w:lineRule="auto"/>
              <w:ind/>
              <w:jc w:val="both"/>
            </w:pPr>
            <w:r>
              <w:rPr>
                <w:rFonts w:ascii="Times New Roman" w:hAnsi="Times New Roman"/>
              </w:rPr>
              <w:t>Жители муниципального образования</w:t>
            </w:r>
          </w:p>
        </w:tc>
        <w:tc>
          <w:tcPr>
            <w:tcW w:type="dxa" w:w="48"/>
            <w:tcBorders>
              <w:lef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28000000">
            <w:pPr>
              <w:rPr>
                <w:b w:val="1"/>
              </w:rPr>
            </w:pPr>
          </w:p>
        </w:tc>
        <w:tc>
          <w:tcPr>
            <w:tcW w:type="dxa" w:w="29"/>
            <w:shd w:fill="auto" w:val="clear"/>
            <w:tcMar>
              <w:left w:type="dxa" w:w="0"/>
              <w:right w:type="dxa" w:w="0"/>
            </w:tcMar>
          </w:tcPr>
          <w:p w14:paraId="29000000">
            <w:pPr>
              <w:rPr>
                <w:b w:val="1"/>
              </w:rPr>
            </w:pPr>
          </w:p>
        </w:tc>
      </w:tr>
      <w:tr>
        <w:trPr>
          <w:trHeight w:hRule="atLeast" w:val="57"/>
        </w:trPr>
        <w:tc>
          <w:tcPr>
            <w:tcW w:type="dxa" w:w="383"/>
            <w:tcBorders>
              <w:left w:color="000000" w:sz="8" w:val="single"/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</w:tcPr>
          <w:p w14:paraId="2A000000">
            <w:pPr>
              <w:ind/>
              <w:jc w:val="center"/>
            </w:pPr>
            <w:r>
              <w:rPr>
                <w:b w:val="1"/>
              </w:rPr>
              <w:t>6.</w:t>
            </w:r>
          </w:p>
        </w:tc>
        <w:tc>
          <w:tcPr>
            <w:tcW w:type="dxa" w:w="2569"/>
            <w:tcBorders>
              <w:left w:color="000000" w:sz="8" w:val="single"/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</w:tcPr>
          <w:p w14:paraId="2B000000">
            <w:r>
              <w:rPr>
                <w:b w:val="1"/>
              </w:rPr>
              <w:t>Ожидаемые результаты реализации Программы</w:t>
            </w:r>
          </w:p>
        </w:tc>
        <w:tc>
          <w:tcPr>
            <w:tcW w:type="dxa" w:w="1174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2C000000">
            <w:pPr>
              <w:pStyle w:val="Style_5"/>
              <w:numPr>
                <w:ilvl w:val="0"/>
                <w:numId w:val="2"/>
              </w:numPr>
              <w:spacing w:after="0" w:line="240" w:lineRule="auto"/>
              <w:ind w:firstLine="170"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Постепенное сокращение общего количества потребителей наркотических веществ и снижение уровня заболеваемости наркоманией и токсикоманией среди жителей Муниципального образования;</w:t>
            </w:r>
          </w:p>
          <w:p w14:paraId="2D000000">
            <w:pPr>
              <w:pStyle w:val="Style_5"/>
              <w:numPr>
                <w:ilvl w:val="0"/>
                <w:numId w:val="2"/>
              </w:numPr>
              <w:spacing w:after="0" w:line="240" w:lineRule="auto"/>
              <w:ind w:firstLine="170"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Создание эффективной системы противостояния к употреблению наркотиков;</w:t>
            </w:r>
          </w:p>
          <w:p w14:paraId="2E000000">
            <w:pPr>
              <w:pStyle w:val="Style_5"/>
              <w:numPr>
                <w:ilvl w:val="0"/>
                <w:numId w:val="2"/>
              </w:numPr>
              <w:spacing w:after="0" w:line="240" w:lineRule="auto"/>
              <w:ind w:firstLine="170"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Эффективность профилактической работы по предупреждению потребления наркотических средств и психотропных веществ;</w:t>
            </w:r>
          </w:p>
          <w:p w14:paraId="2F000000">
            <w:pPr>
              <w:pStyle w:val="Style_5"/>
              <w:numPr>
                <w:ilvl w:val="0"/>
                <w:numId w:val="2"/>
              </w:numPr>
              <w:spacing w:after="0" w:line="240" w:lineRule="auto"/>
              <w:ind w:firstLine="170"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Увеличение уровня осведомленности по проблемам наркомании среди всех групп населения;</w:t>
            </w:r>
          </w:p>
          <w:p w14:paraId="30000000">
            <w:pPr>
              <w:pStyle w:val="Style_5"/>
              <w:numPr>
                <w:ilvl w:val="0"/>
                <w:numId w:val="2"/>
              </w:numPr>
              <w:spacing w:after="0" w:line="240" w:lineRule="auto"/>
              <w:ind w:firstLine="170"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Снижение доли несовершеннолетних среди лиц, употребляющих наркотические средства;</w:t>
            </w:r>
          </w:p>
          <w:p w14:paraId="31000000">
            <w:pPr>
              <w:pStyle w:val="Style_5"/>
              <w:numPr>
                <w:ilvl w:val="0"/>
                <w:numId w:val="2"/>
              </w:numPr>
              <w:spacing w:after="0" w:line="240" w:lineRule="auto"/>
              <w:ind w:firstLine="170" w:left="0"/>
              <w:jc w:val="both"/>
            </w:pPr>
            <w:r>
              <w:rPr>
                <w:rFonts w:ascii="Times New Roman" w:hAnsi="Times New Roman"/>
              </w:rPr>
              <w:t>Увеличение числа жителей, ведущих здоровый образ жизни; снижение количества преступлений, совершаемых гражданами, в том числе детьми и молодежью, в состоянии алкогольного и наркотического опьянении. </w:t>
            </w:r>
          </w:p>
        </w:tc>
        <w:tc>
          <w:tcPr>
            <w:tcW w:type="dxa" w:w="48"/>
            <w:tcBorders>
              <w:lef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32000000">
            <w:pPr>
              <w:rPr>
                <w:b w:val="1"/>
              </w:rPr>
            </w:pPr>
          </w:p>
        </w:tc>
        <w:tc>
          <w:tcPr>
            <w:tcW w:type="dxa" w:w="29"/>
            <w:shd w:fill="auto" w:val="clear"/>
            <w:tcMar>
              <w:left w:type="dxa" w:w="0"/>
              <w:right w:type="dxa" w:w="0"/>
            </w:tcMar>
          </w:tcPr>
          <w:p w14:paraId="33000000">
            <w:pPr>
              <w:rPr>
                <w:b w:val="1"/>
              </w:rPr>
            </w:pPr>
          </w:p>
        </w:tc>
      </w:tr>
      <w:tr>
        <w:trPr>
          <w:trHeight w:hRule="atLeast" w:val="57"/>
        </w:trPr>
        <w:tc>
          <w:tcPr>
            <w:tcW w:type="dxa" w:w="383"/>
            <w:tcBorders>
              <w:left w:color="000000" w:sz="8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34000000">
            <w:pPr>
              <w:ind/>
              <w:jc w:val="center"/>
            </w:pPr>
            <w:r>
              <w:rPr>
                <w:b w:val="1"/>
              </w:rPr>
              <w:t>7.</w:t>
            </w:r>
          </w:p>
        </w:tc>
        <w:tc>
          <w:tcPr>
            <w:tcW w:type="dxa" w:w="2569"/>
            <w:tcBorders>
              <w:top w:color="000000" w:sz="8" w:val="single"/>
              <w:left w:color="000000" w:sz="8" w:val="single"/>
              <w:bottom w:color="000000" w:sz="4" w:val="single"/>
              <w:right w:color="000000" w:sz="8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35000000">
            <w:pPr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Общий объем</w:t>
            </w:r>
          </w:p>
          <w:p w14:paraId="36000000">
            <w:pPr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финансирования и</w:t>
            </w:r>
          </w:p>
          <w:p w14:paraId="37000000">
            <w:pPr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источники</w:t>
            </w:r>
          </w:p>
          <w:p w14:paraId="38000000">
            <w:pPr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финансирования</w:t>
            </w:r>
          </w:p>
          <w:p w14:paraId="39000000">
            <w:pPr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муниципальной</w:t>
            </w:r>
          </w:p>
          <w:p w14:paraId="3A000000">
            <w:pPr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программы, в том</w:t>
            </w:r>
          </w:p>
          <w:p w14:paraId="3B000000">
            <w:pPr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числе по годам</w:t>
            </w:r>
          </w:p>
          <w:p w14:paraId="3C000000">
            <w:pPr>
              <w:rPr>
                <w:b w:val="1"/>
                <w:sz w:val="20"/>
              </w:rPr>
            </w:pPr>
          </w:p>
        </w:tc>
        <w:tc>
          <w:tcPr>
            <w:tcW w:type="dxa" w:w="1174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3D000000">
            <w:pPr>
              <w:ind w:firstLine="170" w:left="0"/>
              <w:jc w:val="both"/>
            </w:pPr>
            <w:r>
              <w:t xml:space="preserve">Финансирование программы осуществляется за счет средств местного бюджета МО </w:t>
            </w:r>
            <w:r>
              <w:t>МО</w:t>
            </w:r>
            <w:r>
              <w:t xml:space="preserve"> Семеновский</w:t>
            </w:r>
          </w:p>
          <w:p w14:paraId="3E000000">
            <w:pPr>
              <w:ind w:firstLine="170" w:left="0"/>
              <w:jc w:val="both"/>
            </w:pPr>
            <w:r>
              <w:t>7970000530 «Участие в установленном порядке в мероприятиях по профилактике незаконного потребления наркотических средств и психотропных веществ, наркомании в Санкт-Петербурге»</w:t>
            </w:r>
          </w:p>
          <w:p w14:paraId="3F000000">
            <w:pPr>
              <w:ind w:firstLine="170" w:left="0"/>
              <w:jc w:val="both"/>
            </w:pPr>
            <w:r>
              <w:t xml:space="preserve">Всего по программе – 90,00 тыс. </w:t>
            </w:r>
            <w:r>
              <w:t>руб</w:t>
            </w:r>
            <w:r>
              <w:t>, в том числе по годам,</w:t>
            </w:r>
          </w:p>
          <w:p w14:paraId="40000000">
            <w:r>
              <w:t>✓ 2023</w:t>
            </w:r>
            <w:r>
              <w:t xml:space="preserve"> </w:t>
            </w:r>
            <w:r>
              <w:t>г. –30,0;</w:t>
            </w:r>
          </w:p>
          <w:p w14:paraId="41000000">
            <w:r>
              <w:t>✓ 2024</w:t>
            </w:r>
            <w:r>
              <w:t xml:space="preserve"> </w:t>
            </w:r>
            <w:r>
              <w:t>г. – 30,0;</w:t>
            </w:r>
          </w:p>
          <w:p w14:paraId="42000000">
            <w:r>
              <w:t>✓ 2025</w:t>
            </w:r>
            <w:r>
              <w:t xml:space="preserve"> </w:t>
            </w:r>
            <w:r>
              <w:t>г. – 30,0.</w:t>
            </w:r>
          </w:p>
          <w:p w14:paraId="43000000">
            <w:pPr>
              <w:ind w:firstLine="170" w:left="0"/>
              <w:jc w:val="both"/>
            </w:pPr>
          </w:p>
        </w:tc>
        <w:tc>
          <w:tcPr>
            <w:tcW w:type="dxa" w:w="48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44000000">
            <w:pPr>
              <w:rPr>
                <w:b w:val="1"/>
              </w:rPr>
            </w:pPr>
          </w:p>
        </w:tc>
        <w:tc>
          <w:tcPr>
            <w:tcW w:type="dxa" w:w="29"/>
            <w:tcBorders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45000000">
            <w:pPr>
              <w:rPr>
                <w:b w:val="1"/>
              </w:rPr>
            </w:pPr>
          </w:p>
        </w:tc>
      </w:tr>
    </w:tbl>
    <w:p w14:paraId="46000000">
      <w:pPr>
        <w:pageBreakBefore w:val="1"/>
        <w:spacing w:after="120" w:before="120"/>
        <w:ind/>
        <w:jc w:val="center"/>
        <w:rPr>
          <w:b w:val="1"/>
        </w:rPr>
      </w:pPr>
      <w:r>
        <w:rPr>
          <w:b w:val="1"/>
        </w:rPr>
        <w:t>II.</w:t>
      </w:r>
      <w:r>
        <w:rPr>
          <w:b w:val="1"/>
        </w:rPr>
        <w:tab/>
      </w:r>
      <w:r>
        <w:t>ПЕРЕЧЕНЬ ОСНОВНЫХ МЕРОПРИЯТИЙ</w:t>
      </w:r>
    </w:p>
    <w:tbl>
      <w:tblPr>
        <w:tblStyle w:val="Style_3"/>
        <w:tblInd w:type="dxa" w:w="-158"/>
        <w:tblLayout w:type="fixed"/>
        <w:tblCellMar>
          <w:left w:type="dxa" w:w="0"/>
          <w:right w:type="dxa" w:w="0"/>
        </w:tblCellMar>
      </w:tblPr>
      <w:tblGrid>
        <w:gridCol w:w="499"/>
        <w:gridCol w:w="5001"/>
        <w:gridCol w:w="902"/>
        <w:gridCol w:w="938"/>
        <w:gridCol w:w="1757"/>
        <w:gridCol w:w="1842"/>
        <w:gridCol w:w="1843"/>
        <w:gridCol w:w="1843"/>
      </w:tblGrid>
      <w:tr>
        <w:trPr>
          <w:trHeight w:hRule="atLeast" w:val="692"/>
        </w:trPr>
        <w:tc>
          <w:tcPr>
            <w:tcW w:type="dxa" w:w="499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47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№</w:t>
            </w:r>
          </w:p>
          <w:p w14:paraId="48000000">
            <w:pPr>
              <w:ind/>
              <w:jc w:val="center"/>
            </w:pPr>
            <w:r>
              <w:rPr>
                <w:b w:val="1"/>
              </w:rPr>
              <w:t>п/п</w:t>
            </w:r>
          </w:p>
        </w:tc>
        <w:tc>
          <w:tcPr>
            <w:tcW w:type="dxa" w:w="5001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49000000">
            <w:pPr>
              <w:ind/>
              <w:jc w:val="center"/>
            </w:pPr>
            <w:r>
              <w:rPr>
                <w:b w:val="1"/>
              </w:rPr>
              <w:t>Наименование мероприятий</w:t>
            </w:r>
          </w:p>
        </w:tc>
        <w:tc>
          <w:tcPr>
            <w:tcW w:type="dxa" w:w="1840"/>
            <w:gridSpan w:val="2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4A000000">
            <w:pPr>
              <w:ind/>
              <w:jc w:val="center"/>
            </w:pPr>
            <w:r>
              <w:rPr>
                <w:b w:val="1"/>
              </w:rPr>
              <w:t>Ожидаемые количественные показатели</w:t>
            </w:r>
          </w:p>
        </w:tc>
        <w:tc>
          <w:tcPr>
            <w:tcW w:type="dxa" w:w="1757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4B000000">
            <w:pPr>
              <w:ind/>
              <w:jc w:val="center"/>
            </w:pPr>
            <w:r>
              <w:rPr>
                <w:b w:val="1"/>
              </w:rPr>
              <w:t>Срок исполнения мероприятия</w:t>
            </w:r>
          </w:p>
        </w:tc>
        <w:tc>
          <w:tcPr>
            <w:tcW w:type="dxa" w:w="5528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4C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Необходимый объем финансирования</w:t>
            </w:r>
          </w:p>
          <w:p w14:paraId="4D000000">
            <w:pPr>
              <w:ind/>
              <w:jc w:val="center"/>
            </w:pPr>
            <w:r>
              <w:rPr>
                <w:b w:val="1"/>
              </w:rPr>
              <w:t>(тыс. руб.)</w:t>
            </w:r>
          </w:p>
        </w:tc>
      </w:tr>
      <w:tr>
        <w:trPr>
          <w:trHeight w:hRule="atLeast" w:val="57"/>
        </w:trPr>
        <w:tc>
          <w:tcPr>
            <w:tcW w:type="dxa" w:w="499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5001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840"/>
            <w:gridSpan w:val="2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757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4E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2023 год</w:t>
            </w:r>
          </w:p>
        </w:tc>
        <w:tc>
          <w:tcPr>
            <w:tcW w:type="dxa" w:w="18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4F000000">
            <w:pPr>
              <w:ind/>
              <w:jc w:val="center"/>
            </w:pPr>
            <w:r>
              <w:rPr>
                <w:b w:val="1"/>
              </w:rPr>
              <w:t>2024 год</w:t>
            </w:r>
          </w:p>
        </w:tc>
        <w:tc>
          <w:tcPr>
            <w:tcW w:type="dxa" w:w="18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50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2025 год</w:t>
            </w:r>
          </w:p>
        </w:tc>
      </w:tr>
      <w:tr>
        <w:trPr>
          <w:trHeight w:hRule="atLeast" w:val="57"/>
        </w:trPr>
        <w:tc>
          <w:tcPr>
            <w:tcW w:type="dxa" w:w="499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5001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840"/>
            <w:gridSpan w:val="2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757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51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план</w:t>
            </w:r>
          </w:p>
        </w:tc>
        <w:tc>
          <w:tcPr>
            <w:tcW w:type="dxa" w:w="18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52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план</w:t>
            </w:r>
          </w:p>
        </w:tc>
        <w:tc>
          <w:tcPr>
            <w:tcW w:type="dxa" w:w="18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53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план</w:t>
            </w:r>
          </w:p>
        </w:tc>
      </w:tr>
      <w:tr>
        <w:trPr>
          <w:trHeight w:hRule="atLeast" w:val="57"/>
        </w:trPr>
        <w:tc>
          <w:tcPr>
            <w:tcW w:type="dxa" w:w="4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54000000">
            <w:pPr>
              <w:ind/>
              <w:jc w:val="center"/>
            </w:pPr>
            <w:r>
              <w:t>1.</w:t>
            </w:r>
          </w:p>
        </w:tc>
        <w:tc>
          <w:tcPr>
            <w:tcW w:type="dxa" w:w="50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55000000">
            <w:r>
              <w:t>Размещение на официальном сайте муниципального образования в информационно-телекоммуникационной сети «Интернет» и (или) в муниципальной газете «Семеновское Время», актуальных информационных материалов, направленных на информирование населения о губительном воздействии наркотических и психотропных, психоактивных веществ на состояние физического и психологического здоровья, а также на профилактику незаконного потребления наркотических средств и психотропных веществ, новых потенциально опасных психоактивных веществ</w:t>
            </w:r>
          </w:p>
        </w:tc>
        <w:tc>
          <w:tcPr>
            <w:tcW w:type="dxa" w:w="90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56000000">
            <w:pPr>
              <w:ind/>
              <w:jc w:val="center"/>
            </w:pPr>
            <w:r>
              <w:t>шт</w:t>
            </w:r>
          </w:p>
        </w:tc>
        <w:tc>
          <w:tcPr>
            <w:tcW w:type="dxa" w:w="9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57000000">
            <w:pPr>
              <w:ind/>
              <w:jc w:val="center"/>
            </w:pPr>
            <w:r>
              <w:t>2</w:t>
            </w:r>
          </w:p>
        </w:tc>
        <w:tc>
          <w:tcPr>
            <w:tcW w:type="dxa" w:w="17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58000000">
            <w:pPr>
              <w:ind/>
              <w:jc w:val="center"/>
            </w:pPr>
            <w:r>
              <w:t>в течение года</w:t>
            </w:r>
          </w:p>
        </w:tc>
        <w:tc>
          <w:tcPr>
            <w:tcW w:type="dxa" w:w="1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59000000">
            <w:pPr>
              <w:ind/>
              <w:jc w:val="center"/>
            </w:pPr>
            <w:r>
              <w:t>без финансового обеспечения</w:t>
            </w:r>
          </w:p>
        </w:tc>
        <w:tc>
          <w:tcPr>
            <w:tcW w:type="dxa" w:w="18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5A000000">
            <w:pPr>
              <w:ind/>
              <w:jc w:val="center"/>
            </w:pPr>
            <w:r>
              <w:t>без финансового обеспечения</w:t>
            </w:r>
          </w:p>
        </w:tc>
        <w:tc>
          <w:tcPr>
            <w:tcW w:type="dxa" w:w="18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5B000000">
            <w:pPr>
              <w:ind/>
              <w:jc w:val="center"/>
            </w:pPr>
            <w:r>
              <w:t>без финансового обеспечения</w:t>
            </w:r>
          </w:p>
        </w:tc>
      </w:tr>
      <w:tr>
        <w:trPr>
          <w:trHeight w:hRule="atLeast" w:val="57"/>
        </w:trPr>
        <w:tc>
          <w:tcPr>
            <w:tcW w:type="dxa" w:w="4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5C000000">
            <w:pPr>
              <w:ind/>
              <w:jc w:val="center"/>
            </w:pPr>
            <w:r>
              <w:t>2.</w:t>
            </w:r>
          </w:p>
        </w:tc>
        <w:tc>
          <w:tcPr>
            <w:tcW w:type="dxa" w:w="50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5D000000">
            <w:r>
              <w:t>Участие в мероприятиях по профилактике наркомании и пропаганде здорового образа жизни, проводимых по плану Антинаркотической комиссии Адмиралтейского района</w:t>
            </w:r>
          </w:p>
        </w:tc>
        <w:tc>
          <w:tcPr>
            <w:tcW w:type="dxa" w:w="90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5E000000">
            <w:pPr>
              <w:ind/>
              <w:jc w:val="center"/>
            </w:pPr>
            <w:r>
              <w:t>шт.</w:t>
            </w:r>
          </w:p>
        </w:tc>
        <w:tc>
          <w:tcPr>
            <w:tcW w:type="dxa" w:w="9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5F000000">
            <w:pPr>
              <w:ind/>
              <w:jc w:val="center"/>
            </w:pPr>
            <w:r>
              <w:t>по мере поступления</w:t>
            </w:r>
          </w:p>
        </w:tc>
        <w:tc>
          <w:tcPr>
            <w:tcW w:type="dxa" w:w="17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60000000">
            <w:pPr>
              <w:ind/>
              <w:jc w:val="center"/>
            </w:pPr>
            <w:r>
              <w:t>в течение года</w:t>
            </w:r>
          </w:p>
        </w:tc>
        <w:tc>
          <w:tcPr>
            <w:tcW w:type="dxa" w:w="1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61000000">
            <w:pPr>
              <w:ind/>
              <w:jc w:val="center"/>
            </w:pPr>
            <w:r>
              <w:t>без финансового обеспечения</w:t>
            </w:r>
          </w:p>
        </w:tc>
        <w:tc>
          <w:tcPr>
            <w:tcW w:type="dxa" w:w="18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62000000">
            <w:pPr>
              <w:ind/>
              <w:jc w:val="center"/>
            </w:pPr>
            <w:r>
              <w:t>без финансового обеспечения</w:t>
            </w:r>
          </w:p>
        </w:tc>
        <w:tc>
          <w:tcPr>
            <w:tcW w:type="dxa" w:w="18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63000000">
            <w:pPr>
              <w:ind/>
              <w:jc w:val="center"/>
            </w:pPr>
            <w:r>
              <w:t>без финансового обеспечения</w:t>
            </w:r>
          </w:p>
        </w:tc>
      </w:tr>
      <w:tr>
        <w:trPr>
          <w:trHeight w:hRule="atLeast" w:val="57"/>
        </w:trPr>
        <w:tc>
          <w:tcPr>
            <w:tcW w:type="dxa" w:w="4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64000000">
            <w:pPr>
              <w:ind/>
              <w:jc w:val="center"/>
            </w:pPr>
            <w:r>
              <w:t>3.</w:t>
            </w:r>
          </w:p>
        </w:tc>
        <w:tc>
          <w:tcPr>
            <w:tcW w:type="dxa" w:w="50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65000000">
            <w:r>
              <w:t>Подготовка, издание и распространение на территории округа методического материала по вопросу профилактики наркомании и пропаганде здорового образа жизни</w:t>
            </w:r>
          </w:p>
        </w:tc>
        <w:tc>
          <w:tcPr>
            <w:tcW w:type="dxa" w:w="90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66000000">
            <w:pPr>
              <w:ind/>
              <w:jc w:val="center"/>
            </w:pPr>
            <w:r>
              <w:t>шт.</w:t>
            </w:r>
          </w:p>
        </w:tc>
        <w:tc>
          <w:tcPr>
            <w:tcW w:type="dxa" w:w="9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67000000">
            <w:pPr>
              <w:ind/>
              <w:jc w:val="center"/>
            </w:pPr>
            <w:r>
              <w:t>1000</w:t>
            </w:r>
          </w:p>
        </w:tc>
        <w:tc>
          <w:tcPr>
            <w:tcW w:type="dxa" w:w="17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68000000">
            <w:pPr>
              <w:ind/>
              <w:jc w:val="center"/>
            </w:pPr>
            <w:r>
              <w:t>в течение года</w:t>
            </w:r>
          </w:p>
        </w:tc>
        <w:tc>
          <w:tcPr>
            <w:tcW w:type="dxa" w:w="1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69000000">
            <w:pPr>
              <w:ind/>
              <w:jc w:val="center"/>
            </w:pPr>
            <w:r>
              <w:t>30,0</w:t>
            </w:r>
          </w:p>
        </w:tc>
        <w:tc>
          <w:tcPr>
            <w:tcW w:type="dxa" w:w="18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6A000000">
            <w:pPr>
              <w:ind/>
              <w:jc w:val="center"/>
            </w:pPr>
            <w:r>
              <w:t>30,0</w:t>
            </w:r>
          </w:p>
        </w:tc>
        <w:tc>
          <w:tcPr>
            <w:tcW w:type="dxa" w:w="18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6B000000">
            <w:pPr>
              <w:ind/>
              <w:jc w:val="center"/>
            </w:pPr>
            <w:r>
              <w:t>30,0</w:t>
            </w:r>
          </w:p>
        </w:tc>
      </w:tr>
      <w:tr>
        <w:trPr>
          <w:trHeight w:hRule="atLeast" w:val="57"/>
        </w:trPr>
        <w:tc>
          <w:tcPr>
            <w:tcW w:type="dxa" w:w="4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6C000000">
            <w:pPr>
              <w:ind/>
              <w:jc w:val="center"/>
            </w:pPr>
            <w:r>
              <w:t>4.</w:t>
            </w:r>
          </w:p>
        </w:tc>
        <w:tc>
          <w:tcPr>
            <w:tcW w:type="dxa" w:w="50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6D000000">
            <w:r>
              <w:t xml:space="preserve">Взаимодействие с органами государственной власти Санкт-Петербурга, правоохранительными органами, органами прокуратуры, и иными органами и организациями по вопросам профилактики наркомании на территории муниципального образования, в том числе информирование о правонарушениях в сфере незаконного распространения наркотиков и о возможных адресах незаконного распространения наркотиков на </w:t>
            </w:r>
            <w:r>
              <w:t>территории МО</w:t>
            </w:r>
          </w:p>
        </w:tc>
        <w:tc>
          <w:tcPr>
            <w:tcW w:type="dxa" w:w="90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6E000000">
            <w:pPr>
              <w:ind/>
              <w:jc w:val="center"/>
            </w:pPr>
            <w:r>
              <w:t>шт</w:t>
            </w:r>
          </w:p>
        </w:tc>
        <w:tc>
          <w:tcPr>
            <w:tcW w:type="dxa" w:w="9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6F000000">
            <w:pPr>
              <w:ind/>
              <w:jc w:val="center"/>
            </w:pPr>
            <w:r>
              <w:t>по мере поступления</w:t>
            </w:r>
          </w:p>
        </w:tc>
        <w:tc>
          <w:tcPr>
            <w:tcW w:type="dxa" w:w="17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70000000">
            <w:pPr>
              <w:ind/>
              <w:jc w:val="center"/>
            </w:pPr>
            <w:r>
              <w:t>в течение года</w:t>
            </w:r>
          </w:p>
        </w:tc>
        <w:tc>
          <w:tcPr>
            <w:tcW w:type="dxa" w:w="1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71000000">
            <w:pPr>
              <w:ind/>
              <w:jc w:val="center"/>
            </w:pPr>
            <w:r>
              <w:t>без финансового обеспечения</w:t>
            </w:r>
          </w:p>
        </w:tc>
        <w:tc>
          <w:tcPr>
            <w:tcW w:type="dxa" w:w="18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72000000">
            <w:pPr>
              <w:ind/>
              <w:jc w:val="center"/>
            </w:pPr>
            <w:r>
              <w:t>без финансового обеспечения</w:t>
            </w:r>
          </w:p>
        </w:tc>
        <w:tc>
          <w:tcPr>
            <w:tcW w:type="dxa" w:w="18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73000000">
            <w:pPr>
              <w:ind/>
              <w:jc w:val="center"/>
            </w:pPr>
            <w:r>
              <w:t>без финансового обеспечения</w:t>
            </w:r>
          </w:p>
        </w:tc>
      </w:tr>
      <w:tr>
        <w:trPr>
          <w:trHeight w:hRule="atLeast" w:val="57"/>
        </w:trPr>
        <w:tc>
          <w:tcPr>
            <w:tcW w:type="dxa" w:w="4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74000000">
            <w:pPr>
              <w:ind/>
              <w:jc w:val="center"/>
            </w:pPr>
            <w:r>
              <w:t>7.</w:t>
            </w:r>
          </w:p>
        </w:tc>
        <w:tc>
          <w:tcPr>
            <w:tcW w:type="dxa" w:w="50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75000000">
            <w:r>
              <w:t xml:space="preserve">Организация и проведение цикла тематических лекций, семинаров, посвященных профилактике психоактивных веществ для учащихся образовательных учреждений, расположенных на территории МО </w:t>
            </w:r>
            <w:r>
              <w:t>МО</w:t>
            </w:r>
            <w:r>
              <w:t xml:space="preserve"> Семеновский</w:t>
            </w:r>
          </w:p>
        </w:tc>
        <w:tc>
          <w:tcPr>
            <w:tcW w:type="dxa" w:w="90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76000000">
            <w:pPr>
              <w:ind/>
              <w:jc w:val="center"/>
            </w:pPr>
            <w:r>
              <w:t>шт./чел.</w:t>
            </w:r>
          </w:p>
        </w:tc>
        <w:tc>
          <w:tcPr>
            <w:tcW w:type="dxa" w:w="9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77000000">
            <w:pPr>
              <w:ind/>
              <w:jc w:val="center"/>
            </w:pPr>
            <w:r>
              <w:t>30</w:t>
            </w:r>
          </w:p>
        </w:tc>
        <w:tc>
          <w:tcPr>
            <w:tcW w:type="dxa" w:w="17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78000000">
            <w:pPr>
              <w:ind/>
              <w:jc w:val="center"/>
            </w:pPr>
            <w:r>
              <w:t>в течение года</w:t>
            </w:r>
          </w:p>
        </w:tc>
        <w:tc>
          <w:tcPr>
            <w:tcW w:type="dxa" w:w="1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79000000">
            <w:pPr>
              <w:ind/>
              <w:jc w:val="center"/>
            </w:pPr>
            <w:r>
              <w:t>без финансового обеспечения</w:t>
            </w:r>
          </w:p>
        </w:tc>
        <w:tc>
          <w:tcPr>
            <w:tcW w:type="dxa" w:w="18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7A000000">
            <w:r>
              <w:t>без финансового обеспечения</w:t>
            </w:r>
          </w:p>
        </w:tc>
        <w:tc>
          <w:tcPr>
            <w:tcW w:type="dxa" w:w="18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7B000000">
            <w:r>
              <w:t>без финансового обеспечения</w:t>
            </w:r>
          </w:p>
        </w:tc>
      </w:tr>
      <w:tr>
        <w:trPr>
          <w:trHeight w:hRule="atLeast" w:val="57"/>
        </w:trPr>
        <w:tc>
          <w:tcPr>
            <w:tcW w:type="dxa" w:w="5500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7C000000">
            <w:r>
              <w:rPr>
                <w:b w:val="1"/>
              </w:rPr>
              <w:t>ИТОГО:</w:t>
            </w:r>
          </w:p>
        </w:tc>
        <w:tc>
          <w:tcPr>
            <w:tcW w:type="dxa" w:w="90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7D000000">
            <w:pPr>
              <w:ind/>
              <w:jc w:val="center"/>
            </w:pPr>
            <w:r>
              <w:rPr>
                <w:b w:val="1"/>
              </w:rPr>
              <w:t>шт/чел</w:t>
            </w:r>
          </w:p>
        </w:tc>
        <w:tc>
          <w:tcPr>
            <w:tcW w:type="dxa" w:w="9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7E000000">
            <w:pPr>
              <w:ind/>
              <w:jc w:val="center"/>
            </w:pPr>
            <w:r>
              <w:t>100</w:t>
            </w:r>
            <w:r>
              <w:t>2</w:t>
            </w:r>
            <w:r>
              <w:t>/30</w:t>
            </w:r>
          </w:p>
        </w:tc>
        <w:tc>
          <w:tcPr>
            <w:tcW w:type="dxa" w:w="17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7F000000">
            <w:pPr>
              <w:ind/>
              <w:jc w:val="center"/>
            </w:pPr>
          </w:p>
        </w:tc>
        <w:tc>
          <w:tcPr>
            <w:tcW w:type="dxa" w:w="1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80000000">
            <w:pPr>
              <w:ind/>
              <w:jc w:val="center"/>
            </w:pPr>
            <w:r>
              <w:rPr>
                <w:b w:val="1"/>
              </w:rPr>
              <w:t>30,0</w:t>
            </w:r>
          </w:p>
        </w:tc>
        <w:tc>
          <w:tcPr>
            <w:tcW w:type="dxa" w:w="18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81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30,0</w:t>
            </w:r>
          </w:p>
        </w:tc>
        <w:tc>
          <w:tcPr>
            <w:tcW w:type="dxa" w:w="18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82000000">
            <w:pPr>
              <w:ind/>
              <w:jc w:val="center"/>
            </w:pPr>
            <w:r>
              <w:rPr>
                <w:b w:val="1"/>
              </w:rPr>
              <w:t>30,0</w:t>
            </w:r>
          </w:p>
        </w:tc>
      </w:tr>
    </w:tbl>
    <w:p w14:paraId="83000000"/>
    <w:p w14:paraId="84000000">
      <w:pPr>
        <w:ind/>
        <w:jc w:val="both"/>
      </w:pPr>
      <w:r>
        <w:t>Объемы финансирования программы носят прогнозный характер и подлежат уточнению, исходя из возможности бюджета и степени реализации мероприятий программы. При отсутствии финансирования мероприятий программы, сроки выполнения отдельных мероприятий могут переноситься либо сниматься с контроля. Решение о переносе сроков принимается Местной администрацией.</w:t>
      </w:r>
    </w:p>
    <w:p w14:paraId="85000000">
      <w:bookmarkStart w:id="1" w:name="_GoBack"/>
      <w:bookmarkEnd w:id="1"/>
    </w:p>
    <w:sectPr>
      <w:footerReference r:id="rId1" w:type="default"/>
      <w:pgSz w:h="11906" w:orient="landscape" w:w="16838"/>
      <w:pgMar w:bottom="1134" w:footer="709" w:gutter="0" w:header="709" w:left="1134" w:right="1134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  <w:ind/>
      <w:jc w:val="right"/>
    </w:pPr>
  </w:p>
</w:ft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bullet"/>
      <w:lvlText w:val=""/>
      <w:lvlJc w:val="left"/>
      <w:pPr>
        <w:tabs>
          <w:tab w:leader="none" w:pos="0" w:val="left"/>
        </w:tabs>
        <w:ind w:hanging="360" w:left="1004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lvl w:ilvl="0">
      <w:start w:val="1"/>
      <w:numFmt w:val="bullet"/>
      <w:lvlText w:val=""/>
      <w:lvlJc w:val="left"/>
      <w:pPr>
        <w:tabs>
          <w:tab w:leader="none" w:pos="0" w:val="left"/>
        </w:tabs>
        <w:ind w:hanging="360" w:left="1004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  <w:rPr>
      <w:sz w:val="22"/>
    </w:rPr>
  </w:style>
  <w:style w:default="1" w:styleId="Style_6_ch" w:type="character">
    <w:name w:val="Normal"/>
    <w:link w:val="Style_6"/>
    <w:rPr>
      <w:sz w:val="22"/>
    </w:rPr>
  </w:style>
  <w:style w:styleId="Style_7" w:type="paragraph">
    <w:name w:val="toc 2"/>
    <w:next w:val="Style_6"/>
    <w:link w:val="Style_7_ch"/>
    <w:uiPriority w:val="39"/>
    <w:pPr>
      <w:ind w:firstLine="0" w:left="200"/>
    </w:pPr>
    <w:rPr>
      <w:rFonts w:ascii="XO Thames" w:hAnsi="XO Thames"/>
      <w:sz w:val="28"/>
    </w:rPr>
  </w:style>
  <w:style w:styleId="Style_7_ch" w:type="character">
    <w:name w:val="toc 2"/>
    <w:link w:val="Style_7"/>
    <w:rPr>
      <w:rFonts w:ascii="XO Thames" w:hAnsi="XO Thames"/>
      <w:sz w:val="28"/>
    </w:rPr>
  </w:style>
  <w:style w:styleId="Style_4" w:type="paragraph">
    <w:name w:val="No Spacing"/>
    <w:link w:val="Style_4_ch"/>
    <w:rPr>
      <w:rFonts w:ascii="Calibri" w:hAnsi="Calibri"/>
      <w:sz w:val="22"/>
    </w:rPr>
  </w:style>
  <w:style w:styleId="Style_4_ch" w:type="character">
    <w:name w:val="No Spacing"/>
    <w:link w:val="Style_4"/>
    <w:rPr>
      <w:rFonts w:ascii="Calibri" w:hAnsi="Calibri"/>
      <w:sz w:val="22"/>
    </w:rPr>
  </w:style>
  <w:style w:styleId="Style_8" w:type="paragraph">
    <w:name w:val="toc 4"/>
    <w:next w:val="Style_6"/>
    <w:link w:val="Style_8_ch"/>
    <w:uiPriority w:val="39"/>
    <w:pPr>
      <w:ind w:firstLine="0" w:left="600"/>
    </w:pPr>
    <w:rPr>
      <w:rFonts w:ascii="XO Thames" w:hAnsi="XO Thames"/>
      <w:sz w:val="28"/>
    </w:rPr>
  </w:style>
  <w:style w:styleId="Style_8_ch" w:type="character">
    <w:name w:val="toc 4"/>
    <w:link w:val="Style_8"/>
    <w:rPr>
      <w:rFonts w:ascii="XO Thames" w:hAnsi="XO Thames"/>
      <w:sz w:val="28"/>
    </w:rPr>
  </w:style>
  <w:style w:styleId="Style_9" w:type="paragraph">
    <w:name w:val="toc 6"/>
    <w:next w:val="Style_6"/>
    <w:link w:val="Style_9_ch"/>
    <w:uiPriority w:val="39"/>
    <w:pPr>
      <w:ind w:firstLine="0" w:left="1000"/>
    </w:pPr>
    <w:rPr>
      <w:rFonts w:ascii="XO Thames" w:hAnsi="XO Thames"/>
      <w:sz w:val="28"/>
    </w:rPr>
  </w:style>
  <w:style w:styleId="Style_9_ch" w:type="character">
    <w:name w:val="toc 6"/>
    <w:link w:val="Style_9"/>
    <w:rPr>
      <w:rFonts w:ascii="XO Thames" w:hAnsi="XO Thames"/>
      <w:sz w:val="28"/>
    </w:rPr>
  </w:style>
  <w:style w:styleId="Style_10" w:type="paragraph">
    <w:name w:val="toc 7"/>
    <w:next w:val="Style_6"/>
    <w:link w:val="Style_10_ch"/>
    <w:uiPriority w:val="39"/>
    <w:pPr>
      <w:ind w:firstLine="0" w:left="1200"/>
    </w:pPr>
    <w:rPr>
      <w:rFonts w:ascii="XO Thames" w:hAnsi="XO Thames"/>
      <w:sz w:val="28"/>
    </w:rPr>
  </w:style>
  <w:style w:styleId="Style_10_ch" w:type="character">
    <w:name w:val="toc 7"/>
    <w:link w:val="Style_10"/>
    <w:rPr>
      <w:rFonts w:ascii="XO Thames" w:hAnsi="XO Thames"/>
      <w:sz w:val="28"/>
    </w:rPr>
  </w:style>
  <w:style w:styleId="Style_11" w:type="paragraph">
    <w:name w:val="heading 3"/>
    <w:next w:val="Style_6"/>
    <w:link w:val="Style_11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1_ch" w:type="character">
    <w:name w:val="heading 3"/>
    <w:link w:val="Style_11"/>
    <w:rPr>
      <w:rFonts w:ascii="XO Thames" w:hAnsi="XO Thames"/>
      <w:b w:val="1"/>
      <w:sz w:val="26"/>
    </w:rPr>
  </w:style>
  <w:style w:styleId="Style_12" w:type="paragraph">
    <w:name w:val="Default Paragraph Font"/>
    <w:link w:val="Style_12_ch"/>
  </w:style>
  <w:style w:styleId="Style_12_ch" w:type="character">
    <w:name w:val="Default Paragraph Font"/>
    <w:link w:val="Style_12"/>
  </w:style>
  <w:style w:styleId="Style_13" w:type="paragraph">
    <w:name w:val="header"/>
    <w:basedOn w:val="Style_6"/>
    <w:link w:val="Style_13_ch"/>
    <w:pPr>
      <w:tabs>
        <w:tab w:leader="none" w:pos="4677" w:val="center"/>
        <w:tab w:leader="none" w:pos="9355" w:val="right"/>
      </w:tabs>
      <w:ind/>
    </w:pPr>
  </w:style>
  <w:style w:styleId="Style_13_ch" w:type="character">
    <w:name w:val="header"/>
    <w:basedOn w:val="Style_6_ch"/>
    <w:link w:val="Style_13"/>
  </w:style>
  <w:style w:styleId="Style_5" w:type="paragraph">
    <w:name w:val="List Paragraph"/>
    <w:basedOn w:val="Style_6"/>
    <w:link w:val="Style_5_ch"/>
    <w:pPr>
      <w:spacing w:after="200" w:line="276" w:lineRule="auto"/>
      <w:ind w:firstLine="0" w:left="720"/>
    </w:pPr>
    <w:rPr>
      <w:rFonts w:ascii="Calibri" w:hAnsi="Calibri"/>
    </w:rPr>
  </w:style>
  <w:style w:styleId="Style_5_ch" w:type="character">
    <w:name w:val="List Paragraph"/>
    <w:basedOn w:val="Style_6_ch"/>
    <w:link w:val="Style_5"/>
    <w:rPr>
      <w:rFonts w:ascii="Calibri" w:hAnsi="Calibri"/>
    </w:rPr>
  </w:style>
  <w:style w:styleId="Style_14" w:type="paragraph">
    <w:name w:val="toc 3"/>
    <w:next w:val="Style_6"/>
    <w:link w:val="Style_14_ch"/>
    <w:uiPriority w:val="39"/>
    <w:pPr>
      <w:ind w:firstLine="0" w:left="400"/>
    </w:pPr>
    <w:rPr>
      <w:rFonts w:ascii="XO Thames" w:hAnsi="XO Thames"/>
      <w:sz w:val="28"/>
    </w:rPr>
  </w:style>
  <w:style w:styleId="Style_14_ch" w:type="character">
    <w:name w:val="toc 3"/>
    <w:link w:val="Style_14"/>
    <w:rPr>
      <w:rFonts w:ascii="XO Thames" w:hAnsi="XO Thames"/>
      <w:sz w:val="28"/>
    </w:rPr>
  </w:style>
  <w:style w:styleId="Style_2" w:type="paragraph">
    <w:name w:val="Стиль Заголовок 1 + 14 пт"/>
    <w:basedOn w:val="Style_15"/>
    <w:link w:val="Style_2_ch"/>
    <w:pPr>
      <w:tabs>
        <w:tab w:leader="none" w:pos="1080" w:val="left"/>
      </w:tabs>
      <w:spacing w:after="0" w:before="120"/>
      <w:ind w:firstLine="567" w:left="0"/>
      <w:jc w:val="both"/>
    </w:pPr>
    <w:rPr>
      <w:rFonts w:ascii="Times New Roman" w:hAnsi="Times New Roman"/>
      <w:sz w:val="28"/>
    </w:rPr>
  </w:style>
  <w:style w:styleId="Style_2_ch" w:type="character">
    <w:name w:val="Стиль Заголовок 1 + 14 пт"/>
    <w:basedOn w:val="Style_15_ch"/>
    <w:link w:val="Style_2"/>
    <w:rPr>
      <w:rFonts w:ascii="Times New Roman" w:hAnsi="Times New Roman"/>
      <w:sz w:val="28"/>
    </w:rPr>
  </w:style>
  <w:style w:styleId="Style_16" w:type="paragraph">
    <w:name w:val="heading 5"/>
    <w:next w:val="Style_6"/>
    <w:link w:val="Style_16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6_ch" w:type="character">
    <w:name w:val="heading 5"/>
    <w:link w:val="Style_16"/>
    <w:rPr>
      <w:rFonts w:ascii="XO Thames" w:hAnsi="XO Thames"/>
      <w:b w:val="1"/>
      <w:sz w:val="22"/>
    </w:rPr>
  </w:style>
  <w:style w:styleId="Style_17" w:type="paragraph">
    <w:name w:val="Обычный1"/>
    <w:link w:val="Style_17_ch"/>
    <w:rPr>
      <w:sz w:val="22"/>
    </w:rPr>
  </w:style>
  <w:style w:styleId="Style_17_ch" w:type="character">
    <w:name w:val="Обычный1"/>
    <w:link w:val="Style_17"/>
    <w:rPr>
      <w:sz w:val="22"/>
    </w:rPr>
  </w:style>
  <w:style w:styleId="Style_15" w:type="paragraph">
    <w:name w:val="heading 1"/>
    <w:basedOn w:val="Style_6"/>
    <w:next w:val="Style_6"/>
    <w:link w:val="Style_15_ch"/>
    <w:uiPriority w:val="9"/>
    <w:qFormat/>
    <w:pPr>
      <w:keepNext w:val="1"/>
      <w:spacing w:after="60" w:before="240"/>
      <w:ind/>
      <w:outlineLvl w:val="0"/>
    </w:pPr>
    <w:rPr>
      <w:rFonts w:ascii="Calibri Light" w:hAnsi="Calibri Light"/>
      <w:b w:val="1"/>
      <w:sz w:val="32"/>
    </w:rPr>
  </w:style>
  <w:style w:styleId="Style_15_ch" w:type="character">
    <w:name w:val="heading 1"/>
    <w:basedOn w:val="Style_6_ch"/>
    <w:link w:val="Style_15"/>
    <w:rPr>
      <w:rFonts w:ascii="Calibri Light" w:hAnsi="Calibri Light"/>
      <w:b w:val="1"/>
      <w:sz w:val="32"/>
    </w:rPr>
  </w:style>
  <w:style w:styleId="Style_18" w:type="paragraph">
    <w:name w:val="Hyperlink"/>
    <w:link w:val="Style_18_ch"/>
    <w:rPr>
      <w:color w:val="0000FF"/>
      <w:u w:val="single"/>
    </w:rPr>
  </w:style>
  <w:style w:styleId="Style_18_ch" w:type="character">
    <w:name w:val="Hyperlink"/>
    <w:link w:val="Style_18"/>
    <w:rPr>
      <w:color w:val="0000FF"/>
      <w:u w:val="single"/>
    </w:rPr>
  </w:style>
  <w:style w:styleId="Style_19" w:type="paragraph">
    <w:name w:val="Footnote"/>
    <w:link w:val="Style_19_ch"/>
    <w:pPr>
      <w:ind w:firstLine="851" w:left="0"/>
      <w:jc w:val="both"/>
    </w:pPr>
    <w:rPr>
      <w:rFonts w:ascii="XO Thames" w:hAnsi="XO Thames"/>
      <w:sz w:val="22"/>
    </w:rPr>
  </w:style>
  <w:style w:styleId="Style_19_ch" w:type="character">
    <w:name w:val="Footnote"/>
    <w:link w:val="Style_19"/>
    <w:rPr>
      <w:rFonts w:ascii="XO Thames" w:hAnsi="XO Thames"/>
      <w:sz w:val="22"/>
    </w:rPr>
  </w:style>
  <w:style w:styleId="Style_20" w:type="paragraph">
    <w:name w:val="toc 1"/>
    <w:next w:val="Style_6"/>
    <w:link w:val="Style_20_ch"/>
    <w:uiPriority w:val="39"/>
    <w:rPr>
      <w:rFonts w:ascii="XO Thames" w:hAnsi="XO Thames"/>
      <w:b w:val="1"/>
      <w:sz w:val="28"/>
    </w:rPr>
  </w:style>
  <w:style w:styleId="Style_20_ch" w:type="character">
    <w:name w:val="toc 1"/>
    <w:link w:val="Style_20"/>
    <w:rPr>
      <w:rFonts w:ascii="XO Thames" w:hAnsi="XO Thames"/>
      <w:b w:val="1"/>
      <w:sz w:val="28"/>
    </w:rPr>
  </w:style>
  <w:style w:styleId="Style_21" w:type="paragraph">
    <w:name w:val="Header and Footer"/>
    <w:link w:val="Style_21_ch"/>
    <w:pPr>
      <w:ind/>
      <w:jc w:val="both"/>
    </w:pPr>
    <w:rPr>
      <w:rFonts w:ascii="XO Thames" w:hAnsi="XO Thames"/>
    </w:rPr>
  </w:style>
  <w:style w:styleId="Style_21_ch" w:type="character">
    <w:name w:val="Header and Footer"/>
    <w:link w:val="Style_21"/>
    <w:rPr>
      <w:rFonts w:ascii="XO Thames" w:hAnsi="XO Thames"/>
    </w:rPr>
  </w:style>
  <w:style w:styleId="Style_22" w:type="paragraph">
    <w:name w:val="toc 9"/>
    <w:next w:val="Style_6"/>
    <w:link w:val="Style_22_ch"/>
    <w:uiPriority w:val="39"/>
    <w:pPr>
      <w:ind w:firstLine="0" w:left="1600"/>
    </w:pPr>
    <w:rPr>
      <w:rFonts w:ascii="XO Thames" w:hAnsi="XO Thames"/>
      <w:sz w:val="28"/>
    </w:rPr>
  </w:style>
  <w:style w:styleId="Style_22_ch" w:type="character">
    <w:name w:val="toc 9"/>
    <w:link w:val="Style_22"/>
    <w:rPr>
      <w:rFonts w:ascii="XO Thames" w:hAnsi="XO Thames"/>
      <w:sz w:val="28"/>
    </w:rPr>
  </w:style>
  <w:style w:styleId="Style_23" w:type="paragraph">
    <w:name w:val="toc 8"/>
    <w:next w:val="Style_6"/>
    <w:link w:val="Style_23_ch"/>
    <w:uiPriority w:val="39"/>
    <w:pPr>
      <w:ind w:firstLine="0" w:left="1400"/>
    </w:pPr>
    <w:rPr>
      <w:rFonts w:ascii="XO Thames" w:hAnsi="XO Thames"/>
      <w:sz w:val="28"/>
    </w:rPr>
  </w:style>
  <w:style w:styleId="Style_23_ch" w:type="character">
    <w:name w:val="toc 8"/>
    <w:link w:val="Style_23"/>
    <w:rPr>
      <w:rFonts w:ascii="XO Thames" w:hAnsi="XO Thames"/>
      <w:sz w:val="28"/>
    </w:rPr>
  </w:style>
  <w:style w:styleId="Style_24" w:type="paragraph">
    <w:name w:val="Balloon Text"/>
    <w:basedOn w:val="Style_6"/>
    <w:link w:val="Style_24_ch"/>
    <w:rPr>
      <w:rFonts w:ascii="Segoe UI" w:hAnsi="Segoe UI"/>
      <w:sz w:val="18"/>
    </w:rPr>
  </w:style>
  <w:style w:styleId="Style_24_ch" w:type="character">
    <w:name w:val="Balloon Text"/>
    <w:basedOn w:val="Style_6_ch"/>
    <w:link w:val="Style_24"/>
    <w:rPr>
      <w:rFonts w:ascii="Segoe UI" w:hAnsi="Segoe UI"/>
      <w:sz w:val="18"/>
    </w:rPr>
  </w:style>
  <w:style w:styleId="Style_25" w:type="paragraph">
    <w:name w:val="toc 5"/>
    <w:next w:val="Style_6"/>
    <w:link w:val="Style_25_ch"/>
    <w:uiPriority w:val="39"/>
    <w:pPr>
      <w:ind w:firstLine="0" w:left="800"/>
    </w:pPr>
    <w:rPr>
      <w:rFonts w:ascii="XO Thames" w:hAnsi="XO Thames"/>
      <w:sz w:val="28"/>
    </w:rPr>
  </w:style>
  <w:style w:styleId="Style_25_ch" w:type="character">
    <w:name w:val="toc 5"/>
    <w:link w:val="Style_25"/>
    <w:rPr>
      <w:rFonts w:ascii="XO Thames" w:hAnsi="XO Thames"/>
      <w:sz w:val="28"/>
    </w:rPr>
  </w:style>
  <w:style w:styleId="Style_1" w:type="paragraph">
    <w:name w:val="footer"/>
    <w:basedOn w:val="Style_6"/>
    <w:link w:val="Style_1_ch"/>
    <w:pPr>
      <w:tabs>
        <w:tab w:leader="none" w:pos="4677" w:val="center"/>
        <w:tab w:leader="none" w:pos="9355" w:val="right"/>
      </w:tabs>
      <w:spacing w:after="200" w:line="276" w:lineRule="auto"/>
      <w:ind/>
    </w:pPr>
    <w:rPr>
      <w:rFonts w:ascii="Calibri" w:hAnsi="Calibri"/>
    </w:rPr>
  </w:style>
  <w:style w:styleId="Style_1_ch" w:type="character">
    <w:name w:val="footer"/>
    <w:basedOn w:val="Style_6_ch"/>
    <w:link w:val="Style_1"/>
    <w:rPr>
      <w:rFonts w:ascii="Calibri" w:hAnsi="Calibri"/>
    </w:rPr>
  </w:style>
  <w:style w:styleId="Style_26" w:type="paragraph">
    <w:name w:val="Subtitle"/>
    <w:next w:val="Style_6"/>
    <w:link w:val="Style_26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6_ch" w:type="character">
    <w:name w:val="Subtitle"/>
    <w:link w:val="Style_26"/>
    <w:rPr>
      <w:rFonts w:ascii="XO Thames" w:hAnsi="XO Thames"/>
      <w:i w:val="1"/>
      <w:sz w:val="24"/>
    </w:rPr>
  </w:style>
  <w:style w:styleId="Style_27" w:type="paragraph">
    <w:name w:val="Гиперссылка1"/>
    <w:link w:val="Style_27_ch"/>
    <w:rPr>
      <w:color w:val="0000FF"/>
      <w:u w:val="single"/>
    </w:rPr>
  </w:style>
  <w:style w:styleId="Style_27_ch" w:type="character">
    <w:name w:val="Гиперссылка1"/>
    <w:link w:val="Style_27"/>
    <w:rPr>
      <w:color w:val="0000FF"/>
      <w:u w:val="single"/>
    </w:rPr>
  </w:style>
  <w:style w:styleId="Style_28" w:type="paragraph">
    <w:name w:val="Title"/>
    <w:next w:val="Style_6"/>
    <w:link w:val="Style_28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8_ch" w:type="character">
    <w:name w:val="Title"/>
    <w:link w:val="Style_28"/>
    <w:rPr>
      <w:rFonts w:ascii="XO Thames" w:hAnsi="XO Thames"/>
      <w:b w:val="1"/>
      <w:caps w:val="1"/>
      <w:sz w:val="40"/>
    </w:rPr>
  </w:style>
  <w:style w:styleId="Style_29" w:type="paragraph">
    <w:name w:val="heading 4"/>
    <w:next w:val="Style_6"/>
    <w:link w:val="Style_2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9_ch" w:type="character">
    <w:name w:val="heading 4"/>
    <w:link w:val="Style_29"/>
    <w:rPr>
      <w:rFonts w:ascii="XO Thames" w:hAnsi="XO Thames"/>
      <w:b w:val="1"/>
      <w:sz w:val="24"/>
    </w:rPr>
  </w:style>
  <w:style w:styleId="Style_30" w:type="paragraph">
    <w:name w:val="Основной шрифт абзаца1"/>
    <w:link w:val="Style_30_ch"/>
  </w:style>
  <w:style w:styleId="Style_30_ch" w:type="character">
    <w:name w:val="Основной шрифт абзаца1"/>
    <w:link w:val="Style_30"/>
  </w:style>
  <w:style w:styleId="Style_31" w:type="paragraph">
    <w:name w:val="heading 2"/>
    <w:next w:val="Style_6"/>
    <w:link w:val="Style_31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1_ch" w:type="character">
    <w:name w:val="heading 2"/>
    <w:link w:val="Style_31"/>
    <w:rPr>
      <w:rFonts w:ascii="XO Thames" w:hAnsi="XO Thames"/>
      <w:b w:val="1"/>
      <w:sz w:val="28"/>
    </w:r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8" Target="numbering.xml" Type="http://schemas.openxmlformats.org/officeDocument/2006/relationships/numbering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MyOffice-CoreFramework-Windows/25-982.666.6545.616.0@RELEASE-DESKTOP-WASSABI_HOME-RC-RENEW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2022-12-08T13:24:28Z</dcterms:modified>
</cp:coreProperties>
</file>