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6</w:t>
      </w:r>
    </w:p>
    <w:p w14:paraId="03000000">
      <w:pPr>
        <w:ind/>
        <w:jc w:val="right"/>
        <w:rPr>
          <w:i w:val="1"/>
        </w:rPr>
      </w:pPr>
      <w:r>
        <w:rPr>
          <w:i w:val="1"/>
        </w:rPr>
        <w:t xml:space="preserve">к Постановлению МА МО </w:t>
      </w:r>
      <w:r>
        <w:rPr>
          <w:i w:val="1"/>
        </w:rPr>
        <w:t>МО</w:t>
      </w:r>
      <w:r>
        <w:rPr>
          <w:i w:val="1"/>
        </w:rPr>
        <w:t xml:space="preserve"> Семеновский</w:t>
      </w:r>
    </w:p>
    <w:p w14:paraId="04000000">
      <w:pPr>
        <w:ind/>
        <w:jc w:val="right"/>
        <w:rPr>
          <w:b w:val="1"/>
          <w:i w:val="1"/>
        </w:rPr>
      </w:pPr>
      <w:r>
        <w:rPr>
          <w:i w:val="1"/>
        </w:rPr>
        <w:t>№ 02-03/25 от «08» декабря 2022 г.</w:t>
      </w:r>
    </w:p>
    <w:p w14:paraId="05000000">
      <w:pPr>
        <w:ind/>
        <w:jc w:val="right"/>
        <w:rPr>
          <w:b w:val="1"/>
          <w:i w:val="1"/>
        </w:rPr>
      </w:pP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7000000">
      <w:pPr>
        <w:pStyle w:val="Style_3"/>
        <w:spacing w:after="120" w:before="12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мероприятий, направленных на решение вопроса местного значения по участию в организации и финансировании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ярмарок вакансий и учебных рабочих мест, на 2023 год и плановый период 2024 и 2025 годов.</w:t>
      </w:r>
    </w:p>
    <w:p w14:paraId="08000000">
      <w:pPr>
        <w:pStyle w:val="Style_3"/>
        <w:spacing w:after="120" w:before="12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I.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>ПАСПОРТ</w:t>
      </w:r>
    </w:p>
    <w:tbl>
      <w:tblPr>
        <w:tblStyle w:val="Style_4"/>
        <w:tblInd w:type="dxa" w:w="-5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6"/>
        <w:gridCol w:w="2619"/>
        <w:gridCol w:w="11429"/>
      </w:tblGrid>
      <w:tr>
        <w:trPr>
          <w:trHeight w:hRule="atLeast" w:val="57"/>
        </w:trPr>
        <w:tc>
          <w:tcPr>
            <w:tcW w:type="dxa" w:w="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9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A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B000000">
            <w:pPr>
              <w:ind/>
              <w:jc w:val="both"/>
            </w:pPr>
            <w:r>
              <w:t>Муниципальная программа мероприятий, направленных на решение вопроса местного значения по участию в организации и финансировании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ярмарок вакансий и учебных рабочих мест, на 2023 год  и плановый период 2024 и 2025 годов (далее – Программа).</w:t>
            </w:r>
          </w:p>
        </w:tc>
      </w:tr>
      <w:tr>
        <w:trPr>
          <w:trHeight w:hRule="atLeast" w:val="57"/>
        </w:trPr>
        <w:tc>
          <w:tcPr>
            <w:tcW w:type="dxa" w:w="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C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D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E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F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0000000">
            <w:r>
              <w:rPr>
                <w:b w:val="1"/>
              </w:rPr>
              <w:t xml:space="preserve">Задачи и цели Программы </w:t>
            </w:r>
          </w:p>
        </w:tc>
        <w:tc>
          <w:tcPr>
            <w:tcW w:type="dxa" w:w="11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1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Трудоустройство определенных категорий безработных жителей муниципального образования, создание рабочих мест для временного трудоустройства граждан и проведения общественных работ на территории муниципального образования муниципальный округ Семеновский;</w:t>
            </w:r>
          </w:p>
          <w:p w14:paraId="12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оплачиваемых общественных работ;</w:t>
            </w:r>
          </w:p>
          <w:p w14:paraId="13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Временное трудоустройство несовершеннолетних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</w:t>
            </w:r>
          </w:p>
          <w:p w14:paraId="14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Основными задачами временного трудоустройства несовершеннолетних являются: приобщение к труду; предоставление возможности адаптироваться в трудовом коллективе и научиться нести ответственность за выполняемую работу; занятие свободного времени подростков интересным и социально полезным делом; предоставление возможности подростку своим трудом заработать деньги;</w:t>
            </w:r>
          </w:p>
          <w:p w14:paraId="15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Трудоустройство молодёжи, их социальная адаптация и подготовка к профессиональной трудовой деятельности;</w:t>
            </w:r>
          </w:p>
          <w:p w14:paraId="16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Обеспечение занятости несовершеннолетних граждан в возрасте от 14 до 18 лет позволяет приобщить учащихся и молодых специалистов к труду, получить профессиональные навыки и приобрести опыт межличностного взаимодействия в трудовом коллективе.</w:t>
            </w:r>
          </w:p>
        </w:tc>
      </w:tr>
      <w:tr>
        <w:trPr>
          <w:trHeight w:hRule="atLeast" w:val="57"/>
        </w:trPr>
        <w:tc>
          <w:tcPr>
            <w:tcW w:type="dxa" w:w="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r>
              <w:rPr>
                <w:b w:val="1"/>
              </w:rPr>
              <w:t>Сроки реализации Программы</w:t>
            </w:r>
          </w:p>
        </w:tc>
        <w:tc>
          <w:tcPr>
            <w:tcW w:type="dxa" w:w="11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9000000">
            <w:pPr>
              <w:pStyle w:val="Style_3"/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2023 год и плановый период 2024 и 2025 годов</w:t>
            </w:r>
          </w:p>
        </w:tc>
      </w:tr>
      <w:tr>
        <w:trPr>
          <w:trHeight w:hRule="atLeast" w:val="57"/>
        </w:trPr>
        <w:tc>
          <w:tcPr>
            <w:tcW w:type="dxa" w:w="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B000000">
            <w:r>
              <w:rPr>
                <w:b w:val="1"/>
              </w:rPr>
              <w:t>Участники Программы</w:t>
            </w:r>
          </w:p>
        </w:tc>
        <w:tc>
          <w:tcPr>
            <w:tcW w:type="dxa" w:w="11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C000000">
            <w:pPr>
              <w:pStyle w:val="Style_3"/>
              <w:numPr>
                <w:ilvl w:val="0"/>
                <w:numId w:val="3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1D000000">
            <w:pPr>
              <w:pStyle w:val="Style_3"/>
              <w:numPr>
                <w:ilvl w:val="0"/>
                <w:numId w:val="3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предприниматели, с которыми Заказчиком Программы по результатам проведения закупки товаров, работ, услуг на выполнение мероприятий Программы заключены Муниципальные контракты, договоры на выполнение работ, входящих в эти мероприятия;</w:t>
            </w:r>
          </w:p>
          <w:p w14:paraId="1E000000">
            <w:pPr>
              <w:pStyle w:val="Style_3"/>
              <w:numPr>
                <w:ilvl w:val="0"/>
                <w:numId w:val="3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Жители Муниципального образования.</w:t>
            </w:r>
          </w:p>
        </w:tc>
      </w:tr>
      <w:tr>
        <w:trPr>
          <w:trHeight w:hRule="atLeast" w:val="57"/>
        </w:trPr>
        <w:tc>
          <w:tcPr>
            <w:tcW w:type="dxa" w:w="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F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0000000">
            <w:r>
              <w:rPr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1000000">
            <w:pPr>
              <w:pStyle w:val="Style_3"/>
              <w:numPr>
                <w:ilvl w:val="0"/>
                <w:numId w:val="4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поиске работы, повышение доходов малоимущих жителей Муниципального образования;</w:t>
            </w:r>
          </w:p>
          <w:p w14:paraId="22000000">
            <w:pPr>
              <w:pStyle w:val="Style_3"/>
              <w:numPr>
                <w:ilvl w:val="0"/>
                <w:numId w:val="4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отношений.</w:t>
            </w:r>
          </w:p>
        </w:tc>
      </w:tr>
      <w:tr>
        <w:trPr>
          <w:trHeight w:hRule="atLeast" w:val="57"/>
        </w:trPr>
        <w:tc>
          <w:tcPr>
            <w:tcW w:type="dxa" w:w="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3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4000000">
            <w:pPr>
              <w:rPr>
                <w:b w:val="1"/>
              </w:rPr>
            </w:pPr>
            <w:r>
              <w:rPr>
                <w:b w:val="1"/>
              </w:rPr>
              <w:t>Общий объем</w:t>
            </w:r>
          </w:p>
          <w:p w14:paraId="25000000">
            <w:pPr>
              <w:rPr>
                <w:b w:val="1"/>
              </w:rPr>
            </w:pPr>
            <w:r>
              <w:rPr>
                <w:b w:val="1"/>
              </w:rPr>
              <w:t>финансирования и</w:t>
            </w:r>
          </w:p>
          <w:p w14:paraId="26000000">
            <w:pPr>
              <w:rPr>
                <w:b w:val="1"/>
              </w:rPr>
            </w:pPr>
            <w:r>
              <w:rPr>
                <w:b w:val="1"/>
              </w:rPr>
              <w:t>источники</w:t>
            </w:r>
          </w:p>
          <w:p w14:paraId="27000000">
            <w:pPr>
              <w:rPr>
                <w:b w:val="1"/>
              </w:rPr>
            </w:pPr>
            <w:r>
              <w:rPr>
                <w:b w:val="1"/>
              </w:rPr>
              <w:t>финансирования</w:t>
            </w:r>
          </w:p>
          <w:p w14:paraId="28000000">
            <w:pPr>
              <w:rPr>
                <w:b w:val="1"/>
              </w:rPr>
            </w:pPr>
            <w:r>
              <w:rPr>
                <w:b w:val="1"/>
              </w:rPr>
              <w:t>муниципальной</w:t>
            </w:r>
          </w:p>
          <w:p w14:paraId="29000000">
            <w:pPr>
              <w:rPr>
                <w:b w:val="1"/>
              </w:rPr>
            </w:pPr>
            <w:r>
              <w:rPr>
                <w:b w:val="1"/>
              </w:rPr>
              <w:t>программы, в том</w:t>
            </w:r>
          </w:p>
          <w:p w14:paraId="2A000000">
            <w:r>
              <w:rPr>
                <w:b w:val="1"/>
              </w:rPr>
              <w:t>числе по годам</w:t>
            </w:r>
          </w:p>
        </w:tc>
        <w:tc>
          <w:tcPr>
            <w:tcW w:type="dxa" w:w="11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B000000">
            <w:pPr>
              <w:pStyle w:val="Style_3"/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Финансирование программы осуществляется за счет средств местного бюджета МО </w:t>
            </w:r>
            <w:r>
              <w:rPr>
                <w:rFonts w:ascii="Times New Roman" w:hAnsi="Times New Roman"/>
                <w:sz w:val="24"/>
              </w:rPr>
              <w:t>МО</w:t>
            </w:r>
            <w:r>
              <w:rPr>
                <w:rFonts w:ascii="Times New Roman" w:hAnsi="Times New Roman"/>
                <w:sz w:val="24"/>
              </w:rPr>
              <w:t xml:space="preserve"> Семеновский</w:t>
            </w:r>
            <w:r>
              <w:t xml:space="preserve"> </w:t>
            </w:r>
            <w:r>
              <w:rPr>
                <w:rFonts w:ascii="Times New Roman" w:hAnsi="Times New Roman"/>
              </w:rPr>
              <w:t>5100000100 «Участие в организации и финансировании и временного трудоустройства несовершеннолетних в возрасте от 14 до 18 лет в свободное от учебы время»</w:t>
            </w:r>
          </w:p>
          <w:p w14:paraId="2C000000">
            <w:r>
              <w:t>Всего по программе – 335,0 тыс. руб., в том числе по годам,</w:t>
            </w:r>
          </w:p>
          <w:p w14:paraId="2D000000">
            <w:r>
              <w:rPr>
                <w:rFonts w:ascii="Segoe UI Symbol" w:hAnsi="Segoe UI Symbol"/>
              </w:rPr>
              <w:t>✓</w:t>
            </w:r>
            <w:r>
              <w:t xml:space="preserve"> 2023 г. – 105,0</w:t>
            </w:r>
          </w:p>
          <w:p w14:paraId="2E000000">
            <w:r>
              <w:rPr>
                <w:rFonts w:ascii="Segoe UI Symbol" w:hAnsi="Segoe UI Symbol"/>
              </w:rPr>
              <w:t>✓</w:t>
            </w:r>
            <w:r>
              <w:t xml:space="preserve"> 2024 г. – 110,0</w:t>
            </w:r>
          </w:p>
          <w:p w14:paraId="2F000000">
            <w:pPr>
              <w:pStyle w:val="Style_3"/>
              <w:spacing w:after="0" w:line="240" w:lineRule="auto"/>
              <w:ind w:firstLine="0" w:left="0"/>
              <w:jc w:val="both"/>
            </w:pPr>
            <w:r>
              <w:rPr>
                <w:rFonts w:ascii="Segoe UI Symbol" w:hAnsi="Segoe UI Symbol"/>
              </w:rPr>
              <w:t>✓</w:t>
            </w:r>
            <w:r>
              <w:t xml:space="preserve"> 2025 г. – 120,0</w:t>
            </w:r>
          </w:p>
        </w:tc>
      </w:tr>
    </w:tbl>
    <w:p w14:paraId="30000000">
      <w:pPr>
        <w:pStyle w:val="Style_3"/>
        <w:spacing w:after="120" w:before="120" w:line="240" w:lineRule="auto"/>
        <w:ind w:firstLine="0" w:left="0"/>
        <w:jc w:val="center"/>
        <w:rPr>
          <w:rFonts w:ascii="Times New Roman" w:hAnsi="Times New Roman"/>
          <w:b w:val="1"/>
        </w:rPr>
      </w:pPr>
    </w:p>
    <w:p w14:paraId="31000000">
      <w:pPr>
        <w:pStyle w:val="Style_3"/>
        <w:pageBreakBefore w:val="1"/>
        <w:spacing w:after="120" w:before="120" w:line="240" w:lineRule="auto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II.</w:t>
      </w:r>
      <w:r>
        <w:rPr>
          <w:rFonts w:ascii="Times New Roman" w:hAnsi="Times New Roman"/>
          <w:b w:val="1"/>
        </w:rPr>
        <w:tab/>
      </w:r>
      <w:r>
        <w:t>ПЕРЕЧЕНЬ ОСНОВНЫХ МЕРОПРИЯТИЙ</w:t>
      </w:r>
    </w:p>
    <w:tbl>
      <w:tblPr>
        <w:tblStyle w:val="Style_4"/>
        <w:tblInd w:type="dxa" w:w="-55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368"/>
        <w:gridCol w:w="4086"/>
        <w:gridCol w:w="1243"/>
        <w:gridCol w:w="1698"/>
        <w:gridCol w:w="2090"/>
        <w:gridCol w:w="1719"/>
        <w:gridCol w:w="1531"/>
        <w:gridCol w:w="1899"/>
      </w:tblGrid>
      <w:tr>
        <w:trPr>
          <w:trHeight w:hRule="atLeast" w:val="57"/>
        </w:trPr>
        <w:tc>
          <w:tcPr>
            <w:tcW w:type="dxa" w:w="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33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40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4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294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5000000">
            <w:pPr>
              <w:ind/>
              <w:jc w:val="center"/>
            </w:pPr>
            <w:r>
              <w:rPr>
                <w:b w:val="1"/>
              </w:rPr>
              <w:t>Ожидаемые количественные показатели</w:t>
            </w:r>
          </w:p>
        </w:tc>
        <w:tc>
          <w:tcPr>
            <w:tcW w:type="dxa" w:w="20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6000000">
            <w:pPr>
              <w:ind/>
              <w:jc w:val="center"/>
            </w:pPr>
            <w:r>
              <w:rPr>
                <w:b w:val="1"/>
              </w:rPr>
              <w:t>Срок исполнения мероприятия</w:t>
            </w:r>
          </w:p>
        </w:tc>
        <w:tc>
          <w:tcPr>
            <w:tcW w:type="dxa" w:w="51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7000000">
            <w:pPr>
              <w:ind/>
              <w:jc w:val="center"/>
            </w:pPr>
            <w:r>
              <w:rPr>
                <w:b w:val="1"/>
              </w:rPr>
              <w:t>Необходимый объем финансирования (тыс. руб.)</w:t>
            </w:r>
          </w:p>
        </w:tc>
      </w:tr>
      <w:tr>
        <w:trPr>
          <w:trHeight w:hRule="atLeast" w:val="57"/>
        </w:trPr>
        <w:tc>
          <w:tcPr>
            <w:tcW w:type="dxa" w:w="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40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2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Ед. изм.</w:t>
            </w:r>
          </w:p>
        </w:tc>
        <w:tc>
          <w:tcPr>
            <w:tcW w:type="dxa" w:w="16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Кол-во</w:t>
            </w:r>
          </w:p>
        </w:tc>
        <w:tc>
          <w:tcPr>
            <w:tcW w:type="dxa" w:w="20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57"/>
        </w:trPr>
        <w:tc>
          <w:tcPr>
            <w:tcW w:type="dxa" w:w="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40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2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6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20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</w:tr>
      <w:tr>
        <w:trPr>
          <w:trHeight w:hRule="atLeast" w:val="57"/>
        </w:trPr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0000000">
            <w:pPr>
              <w:ind/>
              <w:jc w:val="center"/>
            </w:pPr>
            <w:r>
              <w:t>1.</w:t>
            </w:r>
          </w:p>
        </w:tc>
        <w:tc>
          <w:tcPr>
            <w:tcW w:type="dxa" w:w="40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00000">
            <w:r>
              <w:t>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ind/>
              <w:jc w:val="center"/>
            </w:pPr>
            <w:r>
              <w:t>Чел.</w:t>
            </w: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ind/>
              <w:jc w:val="center"/>
            </w:pPr>
            <w:r>
              <w:t>5</w:t>
            </w:r>
          </w:p>
        </w:tc>
        <w:tc>
          <w:tcPr>
            <w:tcW w:type="dxa" w:w="2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ind/>
              <w:jc w:val="center"/>
            </w:pPr>
            <w:r>
              <w:t>2-3 квартал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>
            <w:pPr>
              <w:ind/>
              <w:jc w:val="center"/>
            </w:pPr>
            <w:r>
              <w:t>105,0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ind/>
              <w:jc w:val="center"/>
            </w:pPr>
            <w:r>
              <w:t>120,0</w:t>
            </w:r>
          </w:p>
        </w:tc>
      </w:tr>
      <w:tr>
        <w:trPr>
          <w:trHeight w:hRule="atLeast" w:val="57"/>
        </w:trPr>
        <w:tc>
          <w:tcPr>
            <w:tcW w:type="dxa" w:w="445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r>
              <w:rPr>
                <w:b w:val="1"/>
              </w:rPr>
              <w:t>ИТОГО: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ind/>
              <w:jc w:val="center"/>
            </w:pPr>
            <w:r>
              <w:rPr>
                <w:b w:val="1"/>
              </w:rPr>
              <w:t>Чел.</w:t>
            </w: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ind/>
              <w:jc w:val="center"/>
            </w:pPr>
            <w:r>
              <w:rPr>
                <w:b w:val="1"/>
              </w:rPr>
              <w:t>5</w:t>
            </w:r>
          </w:p>
        </w:tc>
        <w:tc>
          <w:tcPr>
            <w:tcW w:type="dxa" w:w="2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ind/>
              <w:jc w:val="center"/>
            </w:pPr>
            <w:r>
              <w:rPr>
                <w:b w:val="1"/>
              </w:rPr>
              <w:t>105,0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110,0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ind/>
              <w:jc w:val="center"/>
            </w:pPr>
            <w:r>
              <w:rPr>
                <w:b w:val="1"/>
              </w:rPr>
              <w:t>120,0</w:t>
            </w:r>
          </w:p>
        </w:tc>
      </w:tr>
    </w:tbl>
    <w:p w14:paraId="4F000000"/>
    <w:p w14:paraId="50000000"/>
    <w:p w14:paraId="51000000">
      <w:pPr>
        <w:ind/>
        <w:jc w:val="both"/>
      </w:pPr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</w:p>
    <w:p w14:paraId="52000000">
      <w:pPr>
        <w:tabs>
          <w:tab w:leader="none" w:pos="2415" w:val="left"/>
        </w:tabs>
        <w:ind/>
      </w:pPr>
      <w:bookmarkStart w:id="1" w:name="_GoBack"/>
      <w:bookmarkEnd w:id="1"/>
    </w:p>
    <w:sectPr>
      <w:footerReference r:id="rId1" w:type="default"/>
      <w:pgSz w:h="11908" w:orient="landscape" w:w="16848"/>
      <w:pgMar w:bottom="964" w:footer="709" w:gutter="0" w:header="709" w:left="1134" w:right="1134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Стиль Заголовок 1 + 14 пт"/>
    <w:basedOn w:val="Style_11"/>
    <w:link w:val="Style_2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2_ch" w:type="character">
    <w:name w:val="Стиль Заголовок 1 + 14 пт"/>
    <w:basedOn w:val="Style_11_ch"/>
    <w:link w:val="Style_2"/>
    <w:rPr>
      <w:rFonts w:ascii="Times New Roman" w:hAnsi="Times New Roman"/>
      <w:sz w:val="28"/>
    </w:rPr>
  </w:style>
  <w:style w:styleId="Style_12" w:type="paragraph">
    <w:name w:val="toc 3"/>
    <w:next w:val="Style_5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Обычный1"/>
    <w:link w:val="Style_13_ch"/>
    <w:rPr>
      <w:sz w:val="22"/>
    </w:rPr>
  </w:style>
  <w:style w:styleId="Style_13_ch" w:type="character">
    <w:name w:val="Обычный1"/>
    <w:link w:val="Style_13"/>
    <w:rPr>
      <w:sz w:val="22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Balloon Text"/>
    <w:basedOn w:val="Style_5"/>
    <w:link w:val="Style_15_ch"/>
    <w:rPr>
      <w:rFonts w:ascii="Segoe UI" w:hAnsi="Segoe UI"/>
      <w:sz w:val="18"/>
    </w:rPr>
  </w:style>
  <w:style w:styleId="Style_15_ch" w:type="character">
    <w:name w:val="Balloon Text"/>
    <w:basedOn w:val="Style_5_ch"/>
    <w:link w:val="Style_15"/>
    <w:rPr>
      <w:rFonts w:ascii="Segoe UI" w:hAnsi="Segoe UI"/>
      <w:sz w:val="18"/>
    </w:rPr>
  </w:style>
  <w:style w:styleId="Style_11" w:type="paragraph">
    <w:name w:val="heading 1"/>
    <w:basedOn w:val="Style_5"/>
    <w:next w:val="Style_5"/>
    <w:link w:val="Style_11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1_ch" w:type="character">
    <w:name w:val="heading 1"/>
    <w:basedOn w:val="Style_5_ch"/>
    <w:link w:val="Style_11"/>
    <w:rPr>
      <w:rFonts w:ascii="Calibri Light" w:hAnsi="Calibri Light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1"/>
    <w:next w:val="Style_5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3" w:type="paragraph">
    <w:name w:val="List Paragraph"/>
    <w:basedOn w:val="Style_5"/>
    <w:link w:val="Style_3_ch"/>
    <w:pPr>
      <w:spacing w:after="200" w:line="276" w:lineRule="auto"/>
      <w:ind w:firstLine="0" w:left="720"/>
    </w:pPr>
    <w:rPr>
      <w:rFonts w:ascii="Calibri" w:hAnsi="Calibri"/>
    </w:rPr>
  </w:style>
  <w:style w:styleId="Style_3_ch" w:type="character">
    <w:name w:val="List Paragraph"/>
    <w:basedOn w:val="Style_5_ch"/>
    <w:link w:val="Style_3"/>
    <w:rPr>
      <w:rFonts w:ascii="Calibri" w:hAnsi="Calibri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toc 9"/>
    <w:next w:val="Style_5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5_ch"/>
    <w:link w:val="Style_1"/>
    <w:rPr>
      <w:rFonts w:ascii="Calibri" w:hAnsi="Calibri"/>
    </w:rPr>
  </w:style>
  <w:style w:styleId="Style_24" w:type="paragraph">
    <w:name w:val="toc 8"/>
    <w:next w:val="Style_5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2022-12-08T13:24:48Z</dcterms:modified>
</cp:coreProperties>
</file>